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88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85"/>
      </w:tblGrid>
      <w:tr w:rsidR="00A9325D" w:rsidRPr="00A9325D" w:rsidTr="004A47A4">
        <w:trPr>
          <w:trHeight w:val="1815"/>
        </w:trPr>
        <w:tc>
          <w:tcPr>
            <w:tcW w:w="14885" w:type="dxa"/>
            <w:shd w:val="clear" w:color="auto" w:fill="000F64"/>
            <w:vAlign w:val="center"/>
          </w:tcPr>
          <w:p w:rsidR="004A47A4" w:rsidRDefault="004A47A4" w:rsidP="004A47A4">
            <w:pPr>
              <w:pStyle w:val="Title"/>
            </w:pPr>
            <w:r>
              <w:rPr>
                <w:rFonts w:ascii="Kunstler Script" w:hAnsi="Kunstler Script"/>
                <w:b/>
                <w:caps w:val="0"/>
                <w:sz w:val="96"/>
                <w:szCs w:val="96"/>
              </w:rPr>
              <w:t>The</w:t>
            </w:r>
            <w:r>
              <w:t xml:space="preserve"> Nincompoops </w:t>
            </w:r>
          </w:p>
          <w:p w:rsidR="00C63C9B" w:rsidRPr="00A9325D" w:rsidRDefault="004A47A4" w:rsidP="004A47A4">
            <w:pPr>
              <w:pStyle w:val="Title"/>
            </w:pPr>
            <w:r>
              <w:rPr>
                <w:rFonts w:ascii="Kunstler Script" w:hAnsi="Kunstler Script"/>
                <w:b/>
                <w:caps w:val="0"/>
                <w:sz w:val="96"/>
                <w:szCs w:val="96"/>
              </w:rPr>
              <w:t>according to Mary Lee</w:t>
            </w:r>
          </w:p>
        </w:tc>
      </w:tr>
    </w:tbl>
    <w:p w:rsidR="00EB6CA7" w:rsidRDefault="00EB6CA7"/>
    <w:tbl>
      <w:tblPr>
        <w:tblStyle w:val="TableGrid"/>
        <w:tblW w:w="5332"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6505"/>
        <w:gridCol w:w="8625"/>
      </w:tblGrid>
      <w:tr w:rsidR="00C63C9B" w:rsidTr="004A47A4">
        <w:trPr>
          <w:trHeight w:val="90"/>
          <w:jc w:val="center"/>
        </w:trPr>
        <w:tc>
          <w:tcPr>
            <w:tcW w:w="14884" w:type="dxa"/>
            <w:gridSpan w:val="2"/>
            <w:vAlign w:val="center"/>
          </w:tcPr>
          <w:p w:rsidR="00C63C9B" w:rsidRPr="00C63C9B" w:rsidRDefault="00204697" w:rsidP="003E5F5E">
            <w:pPr>
              <w:pStyle w:val="Heading1"/>
              <w:jc w:val="center"/>
              <w:rPr>
                <w:sz w:val="96"/>
              </w:rPr>
            </w:pPr>
            <w:r>
              <w:rPr>
                <w:sz w:val="96"/>
              </w:rPr>
              <w:t xml:space="preserve">George </w:t>
            </w:r>
            <w:proofErr w:type="spellStart"/>
            <w:r>
              <w:rPr>
                <w:sz w:val="96"/>
              </w:rPr>
              <w:t>Gawler</w:t>
            </w:r>
            <w:proofErr w:type="spellEnd"/>
          </w:p>
        </w:tc>
      </w:tr>
      <w:tr w:rsidR="00EB6CA7" w:rsidTr="004A47A4">
        <w:trPr>
          <w:trHeight w:val="44"/>
          <w:jc w:val="center"/>
        </w:trPr>
        <w:tc>
          <w:tcPr>
            <w:tcW w:w="14884" w:type="dxa"/>
            <w:gridSpan w:val="2"/>
            <w:shd w:val="clear" w:color="auto" w:fill="7B230B" w:themeFill="accent1" w:themeFillShade="BF"/>
            <w:vAlign w:val="center"/>
          </w:tcPr>
          <w:p w:rsidR="00EB6CA7" w:rsidRPr="006F4F92" w:rsidRDefault="00204697" w:rsidP="00C377F8">
            <w:pPr>
              <w:pStyle w:val="Heading2"/>
            </w:pPr>
            <w:r>
              <w:t>1795 - 1869</w:t>
            </w:r>
          </w:p>
        </w:tc>
      </w:tr>
      <w:tr w:rsidR="00C63C9B" w:rsidRPr="008B4F7C" w:rsidTr="004A47A4">
        <w:trPr>
          <w:trHeight w:val="324"/>
          <w:jc w:val="center"/>
        </w:trPr>
        <w:tc>
          <w:tcPr>
            <w:tcW w:w="14884" w:type="dxa"/>
            <w:gridSpan w:val="2"/>
            <w:tcBorders>
              <w:bottom w:val="single" w:sz="4" w:space="0" w:color="auto"/>
            </w:tcBorders>
          </w:tcPr>
          <w:p w:rsidR="006E5BE5" w:rsidRPr="00734F74" w:rsidRDefault="006E5BE5" w:rsidP="006E5BE5">
            <w:pPr>
              <w:rPr>
                <w:rFonts w:ascii="Times New Roman" w:hAnsi="Times New Roman" w:cs="Times New Roman"/>
              </w:rPr>
            </w:pPr>
            <w:r w:rsidRPr="00734F74">
              <w:rPr>
                <w:rFonts w:ascii="Times New Roman" w:hAnsi="Times New Roman" w:cs="Times New Roman"/>
              </w:rPr>
              <w:t xml:space="preserve">George </w:t>
            </w:r>
            <w:proofErr w:type="spellStart"/>
            <w:r w:rsidRPr="00734F74">
              <w:rPr>
                <w:rFonts w:ascii="Times New Roman" w:hAnsi="Times New Roman" w:cs="Times New Roman"/>
              </w:rPr>
              <w:t>Gawler</w:t>
            </w:r>
            <w:proofErr w:type="spellEnd"/>
            <w:r w:rsidRPr="00734F74">
              <w:rPr>
                <w:rFonts w:ascii="Times New Roman" w:hAnsi="Times New Roman" w:cs="Times New Roman"/>
              </w:rPr>
              <w:t xml:space="preserve"> </w:t>
            </w:r>
            <w:r>
              <w:rPr>
                <w:rStyle w:val="FootnoteReference"/>
                <w:rFonts w:ascii="Times New Roman" w:hAnsi="Times New Roman" w:cs="Times New Roman"/>
              </w:rPr>
              <w:footnoteReference w:id="1"/>
            </w:r>
          </w:p>
          <w:p w:rsidR="006E5BE5" w:rsidRPr="001D785E" w:rsidRDefault="00B02624" w:rsidP="00E579A5">
            <w:pPr>
              <w:ind w:firstLine="0"/>
              <w:rPr>
                <w:rFonts w:ascii="Times New Roman" w:hAnsi="Times New Roman" w:cs="Times New Roman"/>
                <w:b/>
              </w:rPr>
            </w:pPr>
            <w:r w:rsidRPr="001D785E">
              <w:rPr>
                <w:rFonts w:ascii="Times New Roman" w:hAnsi="Times New Roman" w:cs="Times New Roman"/>
                <w:noProof/>
                <w:lang w:val="en-AU" w:eastAsia="en-AU"/>
              </w:rPr>
              <w:drawing>
                <wp:anchor distT="0" distB="0" distL="114300" distR="114300" simplePos="0" relativeHeight="251658240" behindDoc="0" locked="0" layoutInCell="1" allowOverlap="1">
                  <wp:simplePos x="0" y="0"/>
                  <wp:positionH relativeFrom="column">
                    <wp:posOffset>231775</wp:posOffset>
                  </wp:positionH>
                  <wp:positionV relativeFrom="paragraph">
                    <wp:posOffset>2540</wp:posOffset>
                  </wp:positionV>
                  <wp:extent cx="2354178" cy="3886200"/>
                  <wp:effectExtent l="0" t="0" r="8255" b="0"/>
                  <wp:wrapSquare wrapText="bothSides"/>
                  <wp:docPr id="3" name="Picture 3" descr="\\SLSAPROD01\home$\slsapatrickb\Desktop\B59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SAPROD01\home$\slsapatrickb\Desktop\B598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54178" cy="3886200"/>
                          </a:xfrm>
                          <a:prstGeom prst="rect">
                            <a:avLst/>
                          </a:prstGeom>
                          <a:noFill/>
                          <a:ln>
                            <a:noFill/>
                          </a:ln>
                        </pic:spPr>
                      </pic:pic>
                    </a:graphicData>
                  </a:graphic>
                  <wp14:sizeRelH relativeFrom="page">
                    <wp14:pctWidth>0</wp14:pctWidth>
                  </wp14:sizeRelH>
                  <wp14:sizeRelV relativeFrom="page">
                    <wp14:pctHeight>0</wp14:pctHeight>
                  </wp14:sizeRelV>
                </wp:anchor>
              </w:drawing>
            </w:r>
            <w:r w:rsidR="006E5BE5" w:rsidRPr="001D785E">
              <w:rPr>
                <w:rFonts w:ascii="Times New Roman" w:hAnsi="Times New Roman" w:cs="Times New Roman"/>
                <w:b/>
              </w:rPr>
              <w:t>Famous because:</w:t>
            </w:r>
          </w:p>
          <w:p w:rsidR="006E5BE5" w:rsidRPr="001D785E" w:rsidRDefault="006E5BE5" w:rsidP="00E579A5">
            <w:pPr>
              <w:ind w:firstLine="0"/>
              <w:rPr>
                <w:rFonts w:ascii="Times New Roman" w:hAnsi="Times New Roman" w:cs="Times New Roman"/>
              </w:rPr>
            </w:pPr>
            <w:proofErr w:type="spellStart"/>
            <w:r w:rsidRPr="001D785E">
              <w:rPr>
                <w:rFonts w:ascii="Times New Roman" w:hAnsi="Times New Roman" w:cs="Times New Roman"/>
              </w:rPr>
              <w:t>Gawler</w:t>
            </w:r>
            <w:proofErr w:type="spellEnd"/>
            <w:r w:rsidRPr="001D785E">
              <w:rPr>
                <w:rFonts w:ascii="Times New Roman" w:hAnsi="Times New Roman" w:cs="Times New Roman"/>
              </w:rPr>
              <w:t xml:space="preserve"> was the second governor of South Australia (October 1838 – May 1841).  </w:t>
            </w:r>
          </w:p>
          <w:p w:rsidR="006E5BE5" w:rsidRPr="001D785E" w:rsidRDefault="006E5BE5" w:rsidP="00E579A5">
            <w:pPr>
              <w:ind w:firstLine="0"/>
              <w:rPr>
                <w:rFonts w:ascii="Times New Roman" w:hAnsi="Times New Roman" w:cs="Times New Roman"/>
                <w:b/>
              </w:rPr>
            </w:pPr>
            <w:r w:rsidRPr="001D785E">
              <w:rPr>
                <w:rFonts w:ascii="Times New Roman" w:hAnsi="Times New Roman" w:cs="Times New Roman"/>
                <w:b/>
              </w:rPr>
              <w:t>Behind the scenes:</w:t>
            </w:r>
          </w:p>
          <w:p w:rsidR="006E5BE5" w:rsidRPr="001D785E" w:rsidRDefault="00E579A5" w:rsidP="00E579A5">
            <w:pPr>
              <w:ind w:firstLine="0"/>
              <w:rPr>
                <w:rFonts w:ascii="Times New Roman" w:hAnsi="Times New Roman" w:cs="Times New Roman"/>
              </w:rPr>
            </w:pPr>
            <w:r w:rsidRPr="001D785E">
              <w:rPr>
                <w:rFonts w:ascii="Times New Roman" w:hAnsi="Times New Roman" w:cs="Times New Roman"/>
              </w:rPr>
              <w:t xml:space="preserve">     </w:t>
            </w:r>
            <w:r w:rsidR="006E5BE5" w:rsidRPr="001D785E">
              <w:rPr>
                <w:rFonts w:ascii="Times New Roman" w:hAnsi="Times New Roman" w:cs="Times New Roman"/>
              </w:rPr>
              <w:t>When he came to office in 1838, Gawler found the authorised expenditure for the colony had been surpassed, that the colonial treasury was empty; surveys were in arrears and inefficient, factious and/or underpaid public officers.  To rectify this situation, he acted on his own authority and committed funds to public works.</w:t>
            </w:r>
            <w:r w:rsidR="006E5BE5" w:rsidRPr="001D785E">
              <w:rPr>
                <w:rStyle w:val="FootnoteReference"/>
                <w:rFonts w:ascii="Times New Roman" w:hAnsi="Times New Roman" w:cs="Times New Roman"/>
              </w:rPr>
              <w:footnoteReference w:id="2"/>
            </w:r>
            <w:r w:rsidR="006E5BE5" w:rsidRPr="001D785E">
              <w:rPr>
                <w:rFonts w:ascii="Times New Roman" w:hAnsi="Times New Roman" w:cs="Times New Roman"/>
              </w:rPr>
              <w:t xml:space="preserve">  </w:t>
            </w:r>
          </w:p>
          <w:p w:rsidR="006E5BE5" w:rsidRPr="001D785E" w:rsidRDefault="00E579A5" w:rsidP="00E579A5">
            <w:pPr>
              <w:ind w:firstLine="0"/>
              <w:rPr>
                <w:rFonts w:ascii="Times New Roman" w:hAnsi="Times New Roman" w:cs="Times New Roman"/>
              </w:rPr>
            </w:pPr>
            <w:r w:rsidRPr="001D785E">
              <w:rPr>
                <w:rFonts w:ascii="Times New Roman" w:hAnsi="Times New Roman" w:cs="Times New Roman"/>
                <w:lang w:val="en-AU"/>
              </w:rPr>
              <w:t xml:space="preserve">     </w:t>
            </w:r>
            <w:r w:rsidR="006E5BE5" w:rsidRPr="001D785E">
              <w:rPr>
                <w:rFonts w:ascii="Times New Roman" w:hAnsi="Times New Roman" w:cs="Times New Roman"/>
              </w:rPr>
              <w:t>He replaced most senior officers with professional administrators and increased the salary of civil servants to boost morale and devotion to duty.  He also ensured that the Survey Department was adequately staffed and supplied with sufficient equipment and stores.</w:t>
            </w:r>
            <w:r w:rsidR="006E5BE5" w:rsidRPr="001D785E">
              <w:rPr>
                <w:rStyle w:val="FootnoteReference"/>
                <w:rFonts w:ascii="Times New Roman" w:hAnsi="Times New Roman" w:cs="Times New Roman"/>
              </w:rPr>
              <w:footnoteReference w:id="3"/>
            </w:r>
            <w:r w:rsidR="006E5BE5" w:rsidRPr="001D785E">
              <w:rPr>
                <w:rFonts w:ascii="Times New Roman" w:hAnsi="Times New Roman" w:cs="Times New Roman"/>
              </w:rPr>
              <w:t xml:space="preserve"> </w:t>
            </w:r>
          </w:p>
          <w:p w:rsidR="006E5BE5" w:rsidRPr="001D785E" w:rsidRDefault="00E579A5" w:rsidP="00E579A5">
            <w:pPr>
              <w:ind w:firstLine="0"/>
              <w:rPr>
                <w:rFonts w:ascii="Times New Roman" w:hAnsi="Times New Roman" w:cs="Times New Roman"/>
              </w:rPr>
            </w:pPr>
            <w:r w:rsidRPr="001D785E">
              <w:rPr>
                <w:rFonts w:ascii="Times New Roman" w:hAnsi="Times New Roman" w:cs="Times New Roman"/>
                <w:lang w:val="en-AU"/>
              </w:rPr>
              <w:t xml:space="preserve">     </w:t>
            </w:r>
            <w:proofErr w:type="spellStart"/>
            <w:r w:rsidR="006E5BE5" w:rsidRPr="001D785E">
              <w:rPr>
                <w:rFonts w:ascii="Times New Roman" w:hAnsi="Times New Roman" w:cs="Times New Roman"/>
              </w:rPr>
              <w:t>Gawler</w:t>
            </w:r>
            <w:proofErr w:type="spellEnd"/>
            <w:r w:rsidR="006E5BE5" w:rsidRPr="001D785E">
              <w:rPr>
                <w:rFonts w:ascii="Times New Roman" w:hAnsi="Times New Roman" w:cs="Times New Roman"/>
              </w:rPr>
              <w:t xml:space="preserve"> encouraged extensions of public works which contributed the financial crisis of 1841. ‘Though Gawler was well aware of the high profits made by speculators he was increasingly unable to persuade them to accept responsibility for works of public utility.’</w:t>
            </w:r>
            <w:r w:rsidR="006E5BE5" w:rsidRPr="001D785E">
              <w:rPr>
                <w:rStyle w:val="FootnoteReference"/>
                <w:rFonts w:ascii="Times New Roman" w:hAnsi="Times New Roman" w:cs="Times New Roman"/>
              </w:rPr>
              <w:footnoteReference w:id="4"/>
            </w:r>
            <w:r w:rsidR="006E5BE5" w:rsidRPr="001D785E">
              <w:rPr>
                <w:rFonts w:ascii="Times New Roman" w:hAnsi="Times New Roman" w:cs="Times New Roman"/>
              </w:rPr>
              <w:t xml:space="preserve"> Although Gawler was criticized for his lavish/extravagant expenditure, he did leave the administration of the colony much better than he found it.</w:t>
            </w:r>
            <w:r w:rsidR="006E5BE5" w:rsidRPr="001D785E">
              <w:rPr>
                <w:rStyle w:val="FootnoteReference"/>
                <w:rFonts w:ascii="Times New Roman" w:hAnsi="Times New Roman" w:cs="Times New Roman"/>
              </w:rPr>
              <w:footnoteReference w:id="5"/>
            </w:r>
            <w:r w:rsidR="006E5BE5" w:rsidRPr="001D785E">
              <w:rPr>
                <w:rFonts w:ascii="Times New Roman" w:hAnsi="Times New Roman" w:cs="Times New Roman"/>
              </w:rPr>
              <w:t xml:space="preserve"> </w:t>
            </w:r>
          </w:p>
          <w:p w:rsidR="006E5BE5" w:rsidRPr="001D785E" w:rsidRDefault="00E579A5" w:rsidP="00E579A5">
            <w:pPr>
              <w:ind w:firstLine="0"/>
              <w:rPr>
                <w:rFonts w:ascii="Times New Roman" w:hAnsi="Times New Roman" w:cs="Times New Roman"/>
              </w:rPr>
            </w:pPr>
            <w:r w:rsidRPr="001D785E">
              <w:rPr>
                <w:rFonts w:ascii="Times New Roman" w:hAnsi="Times New Roman" w:cs="Times New Roman"/>
                <w:lang w:val="en-AU"/>
              </w:rPr>
              <w:t xml:space="preserve">     </w:t>
            </w:r>
            <w:r w:rsidR="006E5BE5" w:rsidRPr="001D785E">
              <w:rPr>
                <w:rFonts w:ascii="Times New Roman" w:hAnsi="Times New Roman" w:cs="Times New Roman"/>
              </w:rPr>
              <w:t xml:space="preserve">In 1839, to prove his friendly intentions towards Aboriginal people, Gawler invited </w:t>
            </w:r>
            <w:r w:rsidR="00CB55E9">
              <w:rPr>
                <w:rFonts w:ascii="Times New Roman" w:hAnsi="Times New Roman" w:cs="Times New Roman"/>
              </w:rPr>
              <w:t>A</w:t>
            </w:r>
            <w:r w:rsidR="006E5BE5" w:rsidRPr="001D785E">
              <w:rPr>
                <w:rFonts w:ascii="Times New Roman" w:hAnsi="Times New Roman" w:cs="Times New Roman"/>
              </w:rPr>
              <w:t>boriginal people from the Adelaide region</w:t>
            </w:r>
            <w:r w:rsidR="00CB55E9">
              <w:rPr>
                <w:rFonts w:ascii="Times New Roman" w:hAnsi="Times New Roman" w:cs="Times New Roman"/>
              </w:rPr>
              <w:t>s</w:t>
            </w:r>
            <w:r w:rsidR="006E5BE5" w:rsidRPr="001D785E">
              <w:rPr>
                <w:rFonts w:ascii="Times New Roman" w:hAnsi="Times New Roman" w:cs="Times New Roman"/>
              </w:rPr>
              <w:t xml:space="preserve"> to a dinner in the grounds of Governor House to celebrate Queen Victoria’s birthday. </w:t>
            </w:r>
            <w:r w:rsidR="006E5BE5" w:rsidRPr="001D785E">
              <w:rPr>
                <w:rStyle w:val="FootnoteReference"/>
                <w:rFonts w:ascii="Times New Roman" w:hAnsi="Times New Roman" w:cs="Times New Roman"/>
              </w:rPr>
              <w:footnoteReference w:id="6"/>
            </w:r>
            <w:r w:rsidR="006E5BE5" w:rsidRPr="001D785E">
              <w:rPr>
                <w:rFonts w:ascii="Times New Roman" w:hAnsi="Times New Roman" w:cs="Times New Roman"/>
              </w:rPr>
              <w:t xml:space="preserve"> </w:t>
            </w:r>
          </w:p>
          <w:p w:rsidR="006E5BE5" w:rsidRPr="001D785E" w:rsidRDefault="006E5BE5" w:rsidP="006E5BE5">
            <w:pPr>
              <w:pStyle w:val="ListParagraph"/>
              <w:ind w:left="0"/>
              <w:rPr>
                <w:rFonts w:ascii="Times New Roman" w:hAnsi="Times New Roman" w:cs="Times New Roman"/>
                <w:sz w:val="24"/>
                <w:szCs w:val="24"/>
              </w:rPr>
            </w:pPr>
          </w:p>
          <w:p w:rsidR="00E579A5" w:rsidRPr="001D785E" w:rsidRDefault="006E5BE5" w:rsidP="00E579A5">
            <w:pPr>
              <w:pStyle w:val="ListParagraph"/>
              <w:ind w:left="0"/>
              <w:rPr>
                <w:rFonts w:ascii="Times New Roman" w:hAnsi="Times New Roman" w:cs="Times New Roman"/>
                <w:sz w:val="24"/>
                <w:szCs w:val="24"/>
              </w:rPr>
            </w:pPr>
            <w:r w:rsidRPr="001D785E">
              <w:rPr>
                <w:rFonts w:ascii="Times New Roman" w:hAnsi="Times New Roman" w:cs="Times New Roman"/>
                <w:sz w:val="24"/>
                <w:szCs w:val="24"/>
              </w:rPr>
              <w:t xml:space="preserve">The </w:t>
            </w:r>
            <w:r w:rsidRPr="001D785E">
              <w:rPr>
                <w:rFonts w:ascii="Times New Roman" w:hAnsi="Times New Roman" w:cs="Times New Roman"/>
                <w:i/>
                <w:sz w:val="24"/>
                <w:szCs w:val="24"/>
              </w:rPr>
              <w:t>Maria</w:t>
            </w:r>
            <w:r w:rsidRPr="001D785E">
              <w:rPr>
                <w:rFonts w:ascii="Times New Roman" w:hAnsi="Times New Roman" w:cs="Times New Roman"/>
                <w:sz w:val="24"/>
                <w:szCs w:val="24"/>
              </w:rPr>
              <w:t xml:space="preserve"> debacle:</w:t>
            </w:r>
          </w:p>
          <w:p w:rsidR="00E579A5" w:rsidRPr="001D785E" w:rsidRDefault="00E579A5" w:rsidP="00E579A5">
            <w:pPr>
              <w:pStyle w:val="ListParagraph"/>
              <w:ind w:left="0"/>
              <w:rPr>
                <w:rFonts w:ascii="Times New Roman" w:hAnsi="Times New Roman" w:cs="Times New Roman"/>
                <w:sz w:val="24"/>
                <w:szCs w:val="24"/>
              </w:rPr>
            </w:pPr>
            <w:r w:rsidRPr="001D785E">
              <w:rPr>
                <w:rFonts w:ascii="Times New Roman" w:hAnsi="Times New Roman" w:cs="Times New Roman"/>
                <w:sz w:val="24"/>
                <w:szCs w:val="24"/>
              </w:rPr>
              <w:t xml:space="preserve">     </w:t>
            </w:r>
            <w:r w:rsidR="006E5BE5" w:rsidRPr="001D785E">
              <w:rPr>
                <w:rFonts w:ascii="Times New Roman" w:hAnsi="Times New Roman" w:cs="Times New Roman"/>
                <w:sz w:val="24"/>
                <w:szCs w:val="24"/>
              </w:rPr>
              <w:t>‘It would seem likely that amongst Australia’s colonies South Australia would have effective rule of law because unlike other colonies in Australia, a clear judicial system was established almost from the beginning.’</w:t>
            </w:r>
            <w:r w:rsidR="006E5BE5" w:rsidRPr="001D785E">
              <w:rPr>
                <w:rStyle w:val="FootnoteReference"/>
                <w:rFonts w:ascii="Times New Roman" w:hAnsi="Times New Roman" w:cs="Times New Roman"/>
                <w:sz w:val="24"/>
                <w:szCs w:val="24"/>
              </w:rPr>
              <w:footnoteReference w:id="7"/>
            </w:r>
            <w:r w:rsidR="006E5BE5" w:rsidRPr="001D785E">
              <w:rPr>
                <w:rFonts w:ascii="Times New Roman" w:hAnsi="Times New Roman" w:cs="Times New Roman"/>
                <w:sz w:val="24"/>
                <w:szCs w:val="24"/>
              </w:rPr>
              <w:t xml:space="preserve">  This was not to be the case: </w:t>
            </w:r>
          </w:p>
          <w:p w:rsidR="00E579A5" w:rsidRPr="001D785E" w:rsidRDefault="00E579A5" w:rsidP="00E579A5">
            <w:pPr>
              <w:pStyle w:val="ListParagraph"/>
              <w:ind w:left="0"/>
              <w:rPr>
                <w:rFonts w:ascii="Times New Roman" w:hAnsi="Times New Roman" w:cs="Times New Roman"/>
                <w:sz w:val="24"/>
                <w:szCs w:val="24"/>
              </w:rPr>
            </w:pPr>
            <w:r w:rsidRPr="001D785E">
              <w:rPr>
                <w:rFonts w:ascii="Times New Roman" w:hAnsi="Times New Roman" w:cs="Times New Roman"/>
                <w:sz w:val="24"/>
                <w:szCs w:val="24"/>
              </w:rPr>
              <w:t xml:space="preserve">     </w:t>
            </w:r>
            <w:r w:rsidR="006E5BE5" w:rsidRPr="001D785E">
              <w:rPr>
                <w:rFonts w:ascii="Times New Roman" w:hAnsi="Times New Roman" w:cs="Times New Roman"/>
                <w:sz w:val="24"/>
                <w:szCs w:val="24"/>
              </w:rPr>
              <w:t xml:space="preserve">In 1840, a ship called </w:t>
            </w:r>
            <w:r w:rsidR="006E5BE5" w:rsidRPr="001D785E">
              <w:rPr>
                <w:rFonts w:ascii="Times New Roman" w:hAnsi="Times New Roman" w:cs="Times New Roman"/>
                <w:i/>
                <w:sz w:val="24"/>
                <w:szCs w:val="24"/>
              </w:rPr>
              <w:t>Maria</w:t>
            </w:r>
            <w:r w:rsidR="006E5BE5" w:rsidRPr="001D785E">
              <w:rPr>
                <w:rFonts w:ascii="Times New Roman" w:hAnsi="Times New Roman" w:cs="Times New Roman"/>
                <w:sz w:val="24"/>
                <w:szCs w:val="24"/>
              </w:rPr>
              <w:t xml:space="preserve"> became shipwrecked on the south coast of Adelaide and the 26 survivors were murdered while attempting to return overland to Adelaide. Gawler was faced with the unprecedented task of putting the legal status of Aboriginal people, beyond the settled districts, to the test.  The legal advice he was given by Chief Judge Cooper was that the court had no jurisdiction over Aboriginal people whom had no contact with Europeans.  Further, ‘being unable to take an oath, Aboriginal evidence would be inadmissible in any case that might go to trial; and in the absence of survivors, there was no European evidence’</w:t>
            </w:r>
            <w:r w:rsidR="006E5BE5" w:rsidRPr="001D785E">
              <w:rPr>
                <w:rStyle w:val="FootnoteReference"/>
                <w:rFonts w:ascii="Times New Roman" w:hAnsi="Times New Roman" w:cs="Times New Roman"/>
                <w:sz w:val="24"/>
                <w:szCs w:val="24"/>
              </w:rPr>
              <w:footnoteReference w:id="8"/>
            </w:r>
            <w:r w:rsidR="006E5BE5" w:rsidRPr="001D785E">
              <w:rPr>
                <w:rFonts w:ascii="Times New Roman" w:hAnsi="Times New Roman" w:cs="Times New Roman"/>
                <w:sz w:val="24"/>
                <w:szCs w:val="24"/>
              </w:rPr>
              <w:t xml:space="preserve"> .  Based on this, Gawler instructed Major Thomas O’Halloran, a former military man to find and hang the suspects, or shoot them on the spot. (Judge, jury and executor). Two Aboriginal </w:t>
            </w:r>
            <w:r w:rsidR="00CB55E9">
              <w:rPr>
                <w:rFonts w:ascii="Times New Roman" w:hAnsi="Times New Roman" w:cs="Times New Roman"/>
                <w:sz w:val="24"/>
                <w:szCs w:val="24"/>
              </w:rPr>
              <w:t xml:space="preserve">people </w:t>
            </w:r>
            <w:r w:rsidR="006E5BE5" w:rsidRPr="001D785E">
              <w:rPr>
                <w:rFonts w:ascii="Times New Roman" w:hAnsi="Times New Roman" w:cs="Times New Roman"/>
                <w:sz w:val="24"/>
                <w:szCs w:val="24"/>
              </w:rPr>
              <w:t>were subsequently hung and witnessed by other members of the ‘tribe’. Major O’Halloran is reported to have said, ‘Black men, this is white man’s punishment for murder. Let none of you take the bodies down. They must hang till they fall to pieces.’</w:t>
            </w:r>
            <w:r w:rsidR="006E5BE5" w:rsidRPr="001D785E">
              <w:rPr>
                <w:rStyle w:val="FootnoteReference"/>
                <w:rFonts w:ascii="Times New Roman" w:hAnsi="Times New Roman" w:cs="Times New Roman"/>
                <w:sz w:val="24"/>
                <w:szCs w:val="24"/>
              </w:rPr>
              <w:footnoteReference w:id="9"/>
            </w:r>
            <w:r w:rsidR="006E5BE5" w:rsidRPr="001D785E">
              <w:rPr>
                <w:rFonts w:ascii="Times New Roman" w:hAnsi="Times New Roman" w:cs="Times New Roman"/>
                <w:sz w:val="24"/>
                <w:szCs w:val="24"/>
              </w:rPr>
              <w:t xml:space="preserve"> A watercolour by E. C. Frome, depicting the hanging in 1840, is located in the Art Gallery of South Australia. </w:t>
            </w:r>
            <w:r w:rsidR="006E5BE5" w:rsidRPr="001D785E">
              <w:rPr>
                <w:rStyle w:val="FootnoteReference"/>
                <w:rFonts w:ascii="Times New Roman" w:hAnsi="Times New Roman" w:cs="Times New Roman"/>
                <w:sz w:val="24"/>
                <w:szCs w:val="24"/>
              </w:rPr>
              <w:footnoteReference w:id="10"/>
            </w:r>
            <w:r w:rsidR="006E5BE5" w:rsidRPr="001D785E">
              <w:rPr>
                <w:sz w:val="24"/>
                <w:szCs w:val="24"/>
              </w:rPr>
              <w:t xml:space="preserve">  </w:t>
            </w:r>
            <w:r w:rsidR="006E5BE5" w:rsidRPr="001D785E">
              <w:rPr>
                <w:rFonts w:ascii="Times New Roman" w:hAnsi="Times New Roman" w:cs="Times New Roman"/>
                <w:sz w:val="24"/>
                <w:szCs w:val="24"/>
              </w:rPr>
              <w:t xml:space="preserve">When Frome came across the event 7 weeks later, the corpses were still hanging. </w:t>
            </w:r>
            <w:r w:rsidR="006E5BE5" w:rsidRPr="001D785E">
              <w:rPr>
                <w:rStyle w:val="FootnoteReference"/>
                <w:rFonts w:ascii="Times New Roman" w:hAnsi="Times New Roman" w:cs="Times New Roman"/>
                <w:sz w:val="24"/>
                <w:szCs w:val="24"/>
              </w:rPr>
              <w:footnoteReference w:id="11"/>
            </w:r>
          </w:p>
          <w:p w:rsidR="00E579A5" w:rsidRPr="001D785E" w:rsidRDefault="00E579A5" w:rsidP="00E579A5">
            <w:pPr>
              <w:pStyle w:val="ListParagraph"/>
              <w:ind w:left="0"/>
              <w:rPr>
                <w:rFonts w:ascii="Times New Roman" w:hAnsi="Times New Roman" w:cs="Times New Roman"/>
                <w:sz w:val="24"/>
                <w:szCs w:val="24"/>
              </w:rPr>
            </w:pPr>
            <w:r w:rsidRPr="001D785E">
              <w:rPr>
                <w:rFonts w:ascii="Times New Roman" w:hAnsi="Times New Roman" w:cs="Times New Roman"/>
                <w:sz w:val="24"/>
                <w:szCs w:val="24"/>
              </w:rPr>
              <w:t xml:space="preserve">     </w:t>
            </w:r>
            <w:r w:rsidR="006E5BE5" w:rsidRPr="001D785E">
              <w:rPr>
                <w:rFonts w:ascii="Times New Roman" w:hAnsi="Times New Roman" w:cs="Times New Roman"/>
                <w:sz w:val="24"/>
                <w:szCs w:val="24"/>
              </w:rPr>
              <w:t xml:space="preserve">Gawler’s justification for the execution of the Aboriginal men without trial was questioned by several quarters.  For example, the Crown Law Officer in Britain was of the view that Gawler and O’Halloran acted illegally, and liable to be tried for murder.  The Aboriginal Protection Society in England also met and condemned Gawler’s actions.  The editor of the Register, George Stevenson questioned the legality of Gawler’s actions. </w:t>
            </w:r>
            <w:r w:rsidR="006E5BE5" w:rsidRPr="001D785E">
              <w:rPr>
                <w:rStyle w:val="FootnoteReference"/>
                <w:rFonts w:ascii="Times New Roman" w:hAnsi="Times New Roman" w:cs="Times New Roman"/>
                <w:sz w:val="24"/>
                <w:szCs w:val="24"/>
              </w:rPr>
              <w:footnoteReference w:id="12"/>
            </w:r>
            <w:r w:rsidR="006E5BE5" w:rsidRPr="001D785E">
              <w:rPr>
                <w:rFonts w:ascii="Times New Roman" w:hAnsi="Times New Roman" w:cs="Times New Roman"/>
                <w:sz w:val="24"/>
                <w:szCs w:val="24"/>
              </w:rPr>
              <w:t xml:space="preserve"> </w:t>
            </w:r>
          </w:p>
          <w:p w:rsidR="00E579A5" w:rsidRPr="001D785E" w:rsidRDefault="00E579A5" w:rsidP="00E579A5">
            <w:pPr>
              <w:pStyle w:val="ListParagraph"/>
              <w:ind w:left="0"/>
              <w:rPr>
                <w:rFonts w:ascii="Times New Roman" w:hAnsi="Times New Roman" w:cs="Times New Roman"/>
                <w:sz w:val="24"/>
                <w:szCs w:val="24"/>
              </w:rPr>
            </w:pPr>
            <w:r w:rsidRPr="001D785E">
              <w:rPr>
                <w:rFonts w:ascii="Times New Roman" w:hAnsi="Times New Roman" w:cs="Times New Roman"/>
                <w:sz w:val="24"/>
                <w:szCs w:val="24"/>
              </w:rPr>
              <w:t xml:space="preserve">     </w:t>
            </w:r>
            <w:r w:rsidR="006E5BE5" w:rsidRPr="001D785E">
              <w:rPr>
                <w:rFonts w:ascii="Times New Roman" w:hAnsi="Times New Roman" w:cs="Times New Roman"/>
                <w:sz w:val="24"/>
                <w:szCs w:val="24"/>
              </w:rPr>
              <w:t>‘Gawler began his governorship of South Australia with the determination to maintain peaceful relations between the colonist and the Aborigines of the province, yet with the Maria affair, his term ended in controversy and some degree of shame.’</w:t>
            </w:r>
            <w:r w:rsidR="006E5BE5" w:rsidRPr="001D785E">
              <w:rPr>
                <w:rStyle w:val="FootnoteReference"/>
                <w:rFonts w:ascii="Times New Roman" w:hAnsi="Times New Roman" w:cs="Times New Roman"/>
                <w:sz w:val="24"/>
                <w:szCs w:val="24"/>
              </w:rPr>
              <w:footnoteReference w:id="13"/>
            </w:r>
            <w:r w:rsidR="006E5BE5" w:rsidRPr="001D785E">
              <w:rPr>
                <w:rFonts w:ascii="Times New Roman" w:hAnsi="Times New Roman" w:cs="Times New Roman"/>
                <w:sz w:val="24"/>
                <w:szCs w:val="24"/>
              </w:rPr>
              <w:t xml:space="preserve"> </w:t>
            </w:r>
          </w:p>
          <w:p w:rsidR="006E5BE5" w:rsidRPr="001D785E" w:rsidRDefault="00E579A5" w:rsidP="00E579A5">
            <w:pPr>
              <w:pStyle w:val="ListParagraph"/>
              <w:ind w:left="0"/>
              <w:rPr>
                <w:rFonts w:ascii="Times New Roman" w:hAnsi="Times New Roman" w:cs="Times New Roman"/>
                <w:sz w:val="24"/>
                <w:szCs w:val="24"/>
              </w:rPr>
            </w:pPr>
            <w:r w:rsidRPr="001D785E">
              <w:rPr>
                <w:rFonts w:ascii="Times New Roman" w:hAnsi="Times New Roman" w:cs="Times New Roman"/>
                <w:sz w:val="24"/>
                <w:szCs w:val="24"/>
              </w:rPr>
              <w:t xml:space="preserve">     </w:t>
            </w:r>
            <w:r w:rsidR="006E5BE5" w:rsidRPr="001D785E">
              <w:rPr>
                <w:rFonts w:ascii="Times New Roman" w:hAnsi="Times New Roman" w:cs="Times New Roman"/>
                <w:sz w:val="24"/>
                <w:szCs w:val="24"/>
              </w:rPr>
              <w:t xml:space="preserve">It was Gawler’s over expenditure that led to his dismissal, rather than his action in the </w:t>
            </w:r>
            <w:r w:rsidR="006E5BE5" w:rsidRPr="001D785E">
              <w:rPr>
                <w:rFonts w:ascii="Times New Roman" w:hAnsi="Times New Roman" w:cs="Times New Roman"/>
                <w:i/>
                <w:sz w:val="24"/>
                <w:szCs w:val="24"/>
              </w:rPr>
              <w:t xml:space="preserve">Maria </w:t>
            </w:r>
            <w:r w:rsidR="006E5BE5" w:rsidRPr="001D785E">
              <w:rPr>
                <w:rFonts w:ascii="Times New Roman" w:hAnsi="Times New Roman" w:cs="Times New Roman"/>
                <w:sz w:val="24"/>
                <w:szCs w:val="24"/>
              </w:rPr>
              <w:t xml:space="preserve">debacle.  </w:t>
            </w:r>
          </w:p>
          <w:p w:rsidR="0000585D" w:rsidRPr="001D785E" w:rsidRDefault="0000585D" w:rsidP="0000585D">
            <w:pPr>
              <w:ind w:firstLine="0"/>
              <w:rPr>
                <w:rFonts w:ascii="Times New Roman" w:hAnsi="Times New Roman" w:cs="Times New Roman"/>
                <w:b/>
              </w:rPr>
            </w:pPr>
            <w:r w:rsidRPr="001D785E">
              <w:rPr>
                <w:rFonts w:ascii="Times New Roman" w:hAnsi="Times New Roman" w:cs="Times New Roman"/>
                <w:b/>
              </w:rPr>
              <w:t>Why he come to South Australia:</w:t>
            </w:r>
          </w:p>
          <w:p w:rsidR="0000585D" w:rsidRPr="001D785E" w:rsidRDefault="0000585D" w:rsidP="0000585D">
            <w:pPr>
              <w:rPr>
                <w:rFonts w:ascii="Times New Roman" w:hAnsi="Times New Roman" w:cs="Times New Roman"/>
              </w:rPr>
            </w:pPr>
            <w:r w:rsidRPr="001D785E">
              <w:rPr>
                <w:rFonts w:ascii="Times New Roman" w:hAnsi="Times New Roman" w:cs="Times New Roman"/>
              </w:rPr>
              <w:t>‘His reputation for gallantry in the field, intellectual attainment and sincere piety all gave promise that he would soon bring order to the colony’s political chaos.’</w:t>
            </w:r>
            <w:r w:rsidRPr="001D785E">
              <w:rPr>
                <w:rStyle w:val="FootnoteReference"/>
                <w:rFonts w:ascii="Times New Roman" w:hAnsi="Times New Roman" w:cs="Times New Roman"/>
              </w:rPr>
              <w:footnoteReference w:id="14"/>
            </w:r>
            <w:r w:rsidRPr="001D785E">
              <w:rPr>
                <w:rFonts w:ascii="Times New Roman" w:hAnsi="Times New Roman" w:cs="Times New Roman"/>
              </w:rPr>
              <w:t xml:space="preserve">   </w:t>
            </w:r>
          </w:p>
          <w:p w:rsidR="0000585D" w:rsidRPr="001D785E" w:rsidRDefault="0000585D" w:rsidP="0000585D">
            <w:pPr>
              <w:rPr>
                <w:rFonts w:ascii="Times New Roman" w:hAnsi="Times New Roman" w:cs="Times New Roman"/>
                <w:b/>
              </w:rPr>
            </w:pPr>
            <w:r w:rsidRPr="001D785E">
              <w:rPr>
                <w:rFonts w:ascii="Times New Roman" w:hAnsi="Times New Roman" w:cs="Times New Roman"/>
                <w:b/>
              </w:rPr>
              <w:t>Commemoration:</w:t>
            </w:r>
          </w:p>
          <w:p w:rsidR="0000585D" w:rsidRPr="001D785E" w:rsidRDefault="0000585D" w:rsidP="0000585D">
            <w:pPr>
              <w:pStyle w:val="ListParagraph"/>
              <w:numPr>
                <w:ilvl w:val="0"/>
                <w:numId w:val="16"/>
              </w:numPr>
              <w:rPr>
                <w:rFonts w:ascii="Times New Roman" w:hAnsi="Times New Roman" w:cs="Times New Roman"/>
                <w:sz w:val="24"/>
                <w:szCs w:val="24"/>
              </w:rPr>
            </w:pPr>
            <w:r w:rsidRPr="001D785E">
              <w:rPr>
                <w:rFonts w:ascii="Times New Roman" w:hAnsi="Times New Roman" w:cs="Times New Roman"/>
                <w:sz w:val="24"/>
                <w:szCs w:val="24"/>
              </w:rPr>
              <w:t>South Australian country town</w:t>
            </w:r>
            <w:r w:rsidR="00CB55E9">
              <w:rPr>
                <w:rFonts w:ascii="Times New Roman" w:hAnsi="Times New Roman" w:cs="Times New Roman"/>
                <w:sz w:val="24"/>
                <w:szCs w:val="24"/>
              </w:rPr>
              <w:t>, street in the city, building on North T</w:t>
            </w:r>
            <w:bookmarkStart w:id="0" w:name="_GoBack"/>
            <w:bookmarkEnd w:id="0"/>
            <w:r w:rsidR="00CB55E9">
              <w:rPr>
                <w:rFonts w:ascii="Times New Roman" w:hAnsi="Times New Roman" w:cs="Times New Roman"/>
                <w:sz w:val="24"/>
                <w:szCs w:val="24"/>
              </w:rPr>
              <w:t xml:space="preserve">errace </w:t>
            </w:r>
          </w:p>
          <w:p w:rsidR="00C63C9B" w:rsidRPr="0000585D" w:rsidRDefault="0000585D" w:rsidP="0000585D">
            <w:pPr>
              <w:pStyle w:val="ListParagraph"/>
              <w:numPr>
                <w:ilvl w:val="0"/>
                <w:numId w:val="16"/>
              </w:numPr>
              <w:rPr>
                <w:rFonts w:ascii="Times New Roman" w:hAnsi="Times New Roman" w:cs="Times New Roman"/>
              </w:rPr>
            </w:pPr>
            <w:r w:rsidRPr="001D785E">
              <w:rPr>
                <w:rFonts w:ascii="Times New Roman" w:hAnsi="Times New Roman" w:cs="Times New Roman"/>
                <w:sz w:val="24"/>
                <w:szCs w:val="24"/>
              </w:rPr>
              <w:lastRenderedPageBreak/>
              <w:t>Gawler Ranges</w:t>
            </w:r>
          </w:p>
        </w:tc>
      </w:tr>
      <w:tr w:rsidR="005F65B9" w:rsidRPr="008B4F7C" w:rsidTr="004A47A4">
        <w:trPr>
          <w:trHeight w:val="4364"/>
          <w:jc w:val="center"/>
        </w:trPr>
        <w:tc>
          <w:tcPr>
            <w:tcW w:w="6399" w:type="dxa"/>
            <w:tcBorders>
              <w:top w:val="single" w:sz="4" w:space="0" w:color="auto"/>
            </w:tcBorders>
            <w:vAlign w:val="center"/>
          </w:tcPr>
          <w:p w:rsidR="00A5685D" w:rsidRDefault="0000585D" w:rsidP="001D785E">
            <w:pPr>
              <w:ind w:firstLine="0"/>
            </w:pPr>
            <w:r>
              <w:rPr>
                <w:rFonts w:ascii="Times New Roman" w:hAnsi="Times New Roman" w:cs="Times New Roman"/>
                <w:noProof/>
                <w:lang w:val="en-AU" w:eastAsia="en-AU"/>
              </w:rPr>
              <w:lastRenderedPageBreak/>
              <w:drawing>
                <wp:inline distT="0" distB="0" distL="0" distR="0" wp14:anchorId="2ACC8900" wp14:editId="03B0A19E">
                  <wp:extent cx="3333750" cy="1647825"/>
                  <wp:effectExtent l="0" t="0" r="0" b="9525"/>
                  <wp:docPr id="4" name="Picture 4" descr="C:\Users\Volunteer\Desktop\gawler no ra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olunteer\Desktop\gawler no raod.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33750" cy="1647825"/>
                          </a:xfrm>
                          <a:prstGeom prst="rect">
                            <a:avLst/>
                          </a:prstGeom>
                          <a:noFill/>
                          <a:ln>
                            <a:noFill/>
                          </a:ln>
                        </pic:spPr>
                      </pic:pic>
                    </a:graphicData>
                  </a:graphic>
                </wp:inline>
              </w:drawing>
            </w:r>
            <w:r w:rsidR="004C0F26">
              <w:t xml:space="preserve">  </w:t>
            </w:r>
          </w:p>
          <w:p w:rsidR="005F65B9" w:rsidRDefault="004C0F26" w:rsidP="001D785E">
            <w:pPr>
              <w:ind w:firstLine="0"/>
            </w:pPr>
            <w:r>
              <w:t xml:space="preserve">                                                          </w:t>
            </w:r>
          </w:p>
          <w:p w:rsidR="0000585D" w:rsidRDefault="0000585D" w:rsidP="001D785E">
            <w:pPr>
              <w:ind w:firstLine="0"/>
              <w:rPr>
                <w:rFonts w:ascii="Times New Roman" w:hAnsi="Times New Roman" w:cs="Times New Roman"/>
              </w:rPr>
            </w:pPr>
            <w:proofErr w:type="spellStart"/>
            <w:r>
              <w:rPr>
                <w:rFonts w:ascii="Times New Roman" w:hAnsi="Times New Roman" w:cs="Times New Roman"/>
              </w:rPr>
              <w:t>Gawler</w:t>
            </w:r>
            <w:proofErr w:type="spellEnd"/>
            <w:r>
              <w:rPr>
                <w:rFonts w:ascii="Times New Roman" w:hAnsi="Times New Roman" w:cs="Times New Roman"/>
              </w:rPr>
              <w:t xml:space="preserve"> (approximately 1877)</w:t>
            </w:r>
            <w:r>
              <w:rPr>
                <w:rStyle w:val="FootnoteReference"/>
                <w:rFonts w:ascii="Times New Roman" w:hAnsi="Times New Roman" w:cs="Times New Roman"/>
              </w:rPr>
              <w:footnoteReference w:id="15"/>
            </w:r>
          </w:p>
          <w:p w:rsidR="005F65B9" w:rsidRPr="00F146E4" w:rsidRDefault="005F65B9" w:rsidP="001D785E">
            <w:pPr>
              <w:ind w:firstLine="0"/>
              <w:rPr>
                <w:rFonts w:ascii="Times New Roman" w:hAnsi="Times New Roman" w:cs="Times New Roman"/>
              </w:rPr>
            </w:pPr>
          </w:p>
        </w:tc>
        <w:tc>
          <w:tcPr>
            <w:tcW w:w="8485" w:type="dxa"/>
            <w:tcBorders>
              <w:top w:val="single" w:sz="4" w:space="0" w:color="auto"/>
            </w:tcBorders>
            <w:vAlign w:val="center"/>
          </w:tcPr>
          <w:p w:rsidR="005F65B9" w:rsidRDefault="0000585D" w:rsidP="001D785E">
            <w:pPr>
              <w:pStyle w:val="ListParagraph"/>
              <w:ind w:left="24"/>
            </w:pPr>
            <w:r>
              <w:rPr>
                <w:rFonts w:ascii="Times New Roman" w:hAnsi="Times New Roman" w:cs="Times New Roman"/>
                <w:b/>
                <w:noProof/>
                <w:lang w:eastAsia="en-AU"/>
              </w:rPr>
              <w:drawing>
                <wp:inline distT="0" distB="0" distL="0" distR="0" wp14:anchorId="58304776" wp14:editId="4F326EE8">
                  <wp:extent cx="3305175" cy="1682275"/>
                  <wp:effectExtent l="0" t="0" r="0" b="0"/>
                  <wp:docPr id="1" name="Picture 1" descr="C:\Users\Volunteer\Desktop\Gawler townsh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olunteer\Desktop\Gawler township.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09946" cy="1684703"/>
                          </a:xfrm>
                          <a:prstGeom prst="rect">
                            <a:avLst/>
                          </a:prstGeom>
                          <a:noFill/>
                          <a:ln>
                            <a:noFill/>
                          </a:ln>
                        </pic:spPr>
                      </pic:pic>
                    </a:graphicData>
                  </a:graphic>
                </wp:inline>
              </w:drawing>
            </w:r>
          </w:p>
          <w:p w:rsidR="0000585D" w:rsidRPr="00DA05D0" w:rsidRDefault="0000585D" w:rsidP="001D785E">
            <w:pPr>
              <w:ind w:firstLine="0"/>
              <w:rPr>
                <w:rFonts w:ascii="Times New Roman" w:hAnsi="Times New Roman" w:cs="Times New Roman"/>
              </w:rPr>
            </w:pPr>
            <w:proofErr w:type="spellStart"/>
            <w:r w:rsidRPr="00DA05D0">
              <w:rPr>
                <w:rFonts w:ascii="Times New Roman" w:hAnsi="Times New Roman" w:cs="Times New Roman"/>
              </w:rPr>
              <w:t>Gawler</w:t>
            </w:r>
            <w:proofErr w:type="spellEnd"/>
            <w:r w:rsidRPr="00DA05D0">
              <w:rPr>
                <w:rFonts w:ascii="Times New Roman" w:hAnsi="Times New Roman" w:cs="Times New Roman"/>
              </w:rPr>
              <w:t xml:space="preserve"> (approximately 1916)</w:t>
            </w:r>
            <w:r>
              <w:rPr>
                <w:rStyle w:val="FootnoteReference"/>
                <w:rFonts w:ascii="Times New Roman" w:hAnsi="Times New Roman" w:cs="Times New Roman"/>
              </w:rPr>
              <w:footnoteReference w:id="16"/>
            </w:r>
          </w:p>
          <w:p w:rsidR="004C0F26" w:rsidRDefault="004C0F26" w:rsidP="001D785E">
            <w:pPr>
              <w:ind w:firstLine="0"/>
              <w:rPr>
                <w:rFonts w:ascii="Times New Roman" w:hAnsi="Times New Roman" w:cs="Times New Roman"/>
              </w:rPr>
            </w:pPr>
            <w:r>
              <w:rPr>
                <w:rFonts w:ascii="Times New Roman" w:hAnsi="Times New Roman" w:cs="Times New Roman"/>
              </w:rPr>
              <w:t xml:space="preserve">                                        </w:t>
            </w:r>
          </w:p>
          <w:p w:rsidR="004C0F26" w:rsidRPr="008B4F7C" w:rsidRDefault="004C0F26" w:rsidP="001D785E">
            <w:pPr>
              <w:ind w:firstLine="0"/>
            </w:pPr>
          </w:p>
        </w:tc>
      </w:tr>
    </w:tbl>
    <w:p w:rsidR="0000585D" w:rsidRDefault="0000585D" w:rsidP="006667D2">
      <w:pPr>
        <w:ind w:firstLine="0"/>
      </w:pPr>
    </w:p>
    <w:p w:rsidR="0000585D" w:rsidRPr="0000585D" w:rsidRDefault="0000585D" w:rsidP="0000585D">
      <w:pPr>
        <w:rPr>
          <w:sz w:val="28"/>
          <w:szCs w:val="28"/>
        </w:rPr>
      </w:pPr>
    </w:p>
    <w:p w:rsidR="0000585D" w:rsidRPr="0000585D" w:rsidRDefault="0000585D" w:rsidP="0000585D">
      <w:pPr>
        <w:pBdr>
          <w:bottom w:val="single" w:sz="4" w:space="1" w:color="auto"/>
        </w:pBdr>
        <w:rPr>
          <w:rFonts w:ascii="Times New Roman" w:hAnsi="Times New Roman" w:cs="Times New Roman"/>
          <w:b/>
          <w:sz w:val="32"/>
          <w:szCs w:val="32"/>
        </w:rPr>
      </w:pPr>
      <w:r w:rsidRPr="0000585D">
        <w:rPr>
          <w:rFonts w:ascii="Times New Roman" w:hAnsi="Times New Roman" w:cs="Times New Roman"/>
          <w:b/>
          <w:sz w:val="32"/>
          <w:szCs w:val="32"/>
        </w:rPr>
        <w:t>References</w:t>
      </w:r>
    </w:p>
    <w:p w:rsidR="001D785E" w:rsidRDefault="001D785E" w:rsidP="0000585D">
      <w:pPr>
        <w:rPr>
          <w:rFonts w:ascii="Times New Roman" w:hAnsi="Times New Roman" w:cs="Times New Roman"/>
          <w:b/>
          <w:sz w:val="28"/>
          <w:szCs w:val="28"/>
          <w:u w:val="single"/>
        </w:rPr>
      </w:pPr>
    </w:p>
    <w:p w:rsidR="0000585D" w:rsidRPr="0000585D" w:rsidRDefault="0000585D" w:rsidP="0000585D">
      <w:pPr>
        <w:rPr>
          <w:rFonts w:ascii="Times New Roman" w:hAnsi="Times New Roman" w:cs="Times New Roman"/>
          <w:b/>
          <w:sz w:val="28"/>
          <w:szCs w:val="28"/>
          <w:u w:val="single"/>
        </w:rPr>
      </w:pPr>
      <w:r w:rsidRPr="0000585D">
        <w:rPr>
          <w:rFonts w:ascii="Times New Roman" w:hAnsi="Times New Roman" w:cs="Times New Roman"/>
          <w:b/>
          <w:sz w:val="28"/>
          <w:szCs w:val="28"/>
          <w:u w:val="single"/>
        </w:rPr>
        <w:t>Primary sources</w:t>
      </w:r>
    </w:p>
    <w:p w:rsidR="0000585D" w:rsidRPr="0000585D" w:rsidRDefault="0000585D" w:rsidP="0000585D">
      <w:pPr>
        <w:pStyle w:val="ListParagraph"/>
        <w:numPr>
          <w:ilvl w:val="0"/>
          <w:numId w:val="19"/>
        </w:numPr>
        <w:rPr>
          <w:rFonts w:ascii="Times New Roman" w:hAnsi="Times New Roman" w:cs="Times New Roman"/>
          <w:sz w:val="28"/>
          <w:szCs w:val="28"/>
        </w:rPr>
      </w:pPr>
      <w:r w:rsidRPr="0000585D">
        <w:rPr>
          <w:rFonts w:ascii="Times New Roman" w:hAnsi="Times New Roman" w:cs="Times New Roman"/>
          <w:sz w:val="28"/>
          <w:szCs w:val="28"/>
        </w:rPr>
        <w:t>South Australian Register’ (Adelaide SA 1839-1900) ‘A parting word on the press’, Sat 28 Nov 1840,  p2, Accessed online</w:t>
      </w:r>
      <w:r w:rsidRPr="0000585D">
        <w:rPr>
          <w:sz w:val="28"/>
          <w:szCs w:val="28"/>
        </w:rPr>
        <w:t xml:space="preserve"> </w:t>
      </w:r>
      <w:hyperlink r:id="rId15" w:history="1">
        <w:r w:rsidRPr="0000585D">
          <w:rPr>
            <w:rStyle w:val="Hyperlink"/>
            <w:rFonts w:ascii="Times New Roman" w:hAnsi="Times New Roman" w:cs="Times New Roman"/>
            <w:sz w:val="28"/>
            <w:szCs w:val="28"/>
          </w:rPr>
          <w:t>https://trove.nla.gov.au/newspaper/article/27442064</w:t>
        </w:r>
      </w:hyperlink>
      <w:r w:rsidRPr="0000585D">
        <w:rPr>
          <w:rFonts w:ascii="Times New Roman" w:hAnsi="Times New Roman" w:cs="Times New Roman"/>
          <w:sz w:val="28"/>
          <w:szCs w:val="28"/>
        </w:rPr>
        <w:t xml:space="preserve"> accessed online 1 May 2018</w:t>
      </w:r>
    </w:p>
    <w:p w:rsidR="0000585D" w:rsidRPr="0000585D" w:rsidRDefault="0000585D" w:rsidP="0000585D">
      <w:pPr>
        <w:pStyle w:val="ListParagraph"/>
        <w:ind w:left="360"/>
        <w:rPr>
          <w:rFonts w:ascii="Times New Roman" w:hAnsi="Times New Roman" w:cs="Times New Roman"/>
          <w:sz w:val="28"/>
          <w:szCs w:val="28"/>
        </w:rPr>
      </w:pPr>
    </w:p>
    <w:p w:rsidR="0000585D" w:rsidRPr="0000585D" w:rsidRDefault="0000585D" w:rsidP="0000585D">
      <w:pPr>
        <w:pStyle w:val="ListParagraph"/>
        <w:numPr>
          <w:ilvl w:val="0"/>
          <w:numId w:val="18"/>
        </w:numPr>
        <w:rPr>
          <w:rFonts w:ascii="Times New Roman" w:hAnsi="Times New Roman" w:cs="Times New Roman"/>
          <w:sz w:val="28"/>
          <w:szCs w:val="28"/>
        </w:rPr>
      </w:pPr>
      <w:r w:rsidRPr="0000585D">
        <w:rPr>
          <w:rFonts w:ascii="Times New Roman" w:hAnsi="Times New Roman" w:cs="Times New Roman"/>
          <w:sz w:val="28"/>
          <w:szCs w:val="28"/>
        </w:rPr>
        <w:t xml:space="preserve">Southern Argus (Port Elliot SA 1866-1954), ‘Colonel George Gawler’, Sat 14 August, 1869, p 4 </w:t>
      </w:r>
      <w:hyperlink r:id="rId16" w:history="1">
        <w:r w:rsidRPr="0000585D">
          <w:rPr>
            <w:rStyle w:val="Hyperlink"/>
            <w:rFonts w:ascii="Times New Roman" w:hAnsi="Times New Roman" w:cs="Times New Roman"/>
            <w:sz w:val="28"/>
            <w:szCs w:val="28"/>
          </w:rPr>
          <w:t>https://trove.nla.gov.au/newspaper/article/96872974</w:t>
        </w:r>
      </w:hyperlink>
      <w:r w:rsidRPr="0000585D">
        <w:rPr>
          <w:rFonts w:ascii="Times New Roman" w:hAnsi="Times New Roman" w:cs="Times New Roman"/>
          <w:sz w:val="28"/>
          <w:szCs w:val="28"/>
        </w:rPr>
        <w:t xml:space="preserve"> accessed online 10 April 2018</w:t>
      </w:r>
    </w:p>
    <w:p w:rsidR="0000585D" w:rsidRPr="0000585D" w:rsidRDefault="0000585D" w:rsidP="0000585D">
      <w:pPr>
        <w:pStyle w:val="ListParagraph"/>
        <w:ind w:left="360"/>
        <w:rPr>
          <w:rFonts w:ascii="Times New Roman" w:hAnsi="Times New Roman" w:cs="Times New Roman"/>
          <w:sz w:val="28"/>
          <w:szCs w:val="28"/>
        </w:rPr>
      </w:pPr>
    </w:p>
    <w:p w:rsidR="0000585D" w:rsidRPr="0000585D" w:rsidRDefault="0000585D" w:rsidP="0000585D">
      <w:pPr>
        <w:pStyle w:val="ListParagraph"/>
        <w:numPr>
          <w:ilvl w:val="0"/>
          <w:numId w:val="18"/>
        </w:numPr>
        <w:rPr>
          <w:rFonts w:ascii="Times New Roman" w:hAnsi="Times New Roman" w:cs="Times New Roman"/>
          <w:sz w:val="28"/>
          <w:szCs w:val="28"/>
        </w:rPr>
      </w:pPr>
      <w:r w:rsidRPr="0000585D">
        <w:rPr>
          <w:rFonts w:ascii="Times New Roman" w:hAnsi="Times New Roman" w:cs="Times New Roman"/>
          <w:sz w:val="28"/>
          <w:szCs w:val="28"/>
        </w:rPr>
        <w:t xml:space="preserve">News (Adelaide, SA: 1923-1954), ‘The Maria Massacre - and a lost treasure’, Sat 21 Feb 1942, p 5, </w:t>
      </w:r>
      <w:hyperlink r:id="rId17" w:history="1">
        <w:r w:rsidRPr="0000585D">
          <w:rPr>
            <w:rStyle w:val="Hyperlink"/>
            <w:rFonts w:ascii="Times New Roman" w:hAnsi="Times New Roman" w:cs="Times New Roman"/>
            <w:sz w:val="28"/>
            <w:szCs w:val="28"/>
          </w:rPr>
          <w:t>https://trove.nla.gov.au/newspaper/article/131950481</w:t>
        </w:r>
      </w:hyperlink>
    </w:p>
    <w:p w:rsidR="0000585D" w:rsidRPr="0000585D" w:rsidRDefault="0000585D" w:rsidP="0000585D">
      <w:pPr>
        <w:rPr>
          <w:rFonts w:ascii="Times New Roman" w:hAnsi="Times New Roman" w:cs="Times New Roman"/>
          <w:b/>
          <w:sz w:val="28"/>
          <w:szCs w:val="28"/>
          <w:u w:val="single"/>
        </w:rPr>
      </w:pPr>
      <w:r w:rsidRPr="0000585D">
        <w:rPr>
          <w:rFonts w:ascii="Times New Roman" w:hAnsi="Times New Roman" w:cs="Times New Roman"/>
          <w:b/>
          <w:sz w:val="28"/>
          <w:szCs w:val="28"/>
          <w:u w:val="single"/>
        </w:rPr>
        <w:t>Secondary sources</w:t>
      </w:r>
    </w:p>
    <w:p w:rsidR="0000585D" w:rsidRPr="0000585D" w:rsidRDefault="0000585D" w:rsidP="0000585D">
      <w:pPr>
        <w:pStyle w:val="ListParagraph"/>
        <w:numPr>
          <w:ilvl w:val="0"/>
          <w:numId w:val="17"/>
        </w:numPr>
        <w:rPr>
          <w:rFonts w:ascii="Times New Roman" w:hAnsi="Times New Roman" w:cs="Times New Roman"/>
          <w:sz w:val="28"/>
          <w:szCs w:val="28"/>
        </w:rPr>
      </w:pPr>
      <w:r w:rsidRPr="0000585D">
        <w:rPr>
          <w:rFonts w:ascii="Times New Roman" w:hAnsi="Times New Roman" w:cs="Times New Roman"/>
          <w:sz w:val="28"/>
          <w:szCs w:val="28"/>
        </w:rPr>
        <w:t>B. Attwood (2003), ‘Historiography on the Australian frontier’ in</w:t>
      </w:r>
      <w:r w:rsidRPr="0000585D">
        <w:rPr>
          <w:rFonts w:ascii="Times New Roman" w:hAnsi="Times New Roman" w:cs="Times New Roman"/>
          <w:i/>
          <w:sz w:val="28"/>
          <w:szCs w:val="28"/>
        </w:rPr>
        <w:t xml:space="preserve"> Frontier Conflict the Australian Experience</w:t>
      </w:r>
      <w:r w:rsidRPr="0000585D">
        <w:rPr>
          <w:rFonts w:ascii="Times New Roman" w:hAnsi="Times New Roman" w:cs="Times New Roman"/>
          <w:sz w:val="28"/>
          <w:szCs w:val="28"/>
        </w:rPr>
        <w:t>, (</w:t>
      </w:r>
      <w:proofErr w:type="spellStart"/>
      <w:r w:rsidRPr="0000585D">
        <w:rPr>
          <w:rFonts w:ascii="Times New Roman" w:hAnsi="Times New Roman" w:cs="Times New Roman"/>
          <w:sz w:val="28"/>
          <w:szCs w:val="28"/>
        </w:rPr>
        <w:t>eds</w:t>
      </w:r>
      <w:proofErr w:type="spellEnd"/>
      <w:r w:rsidRPr="0000585D">
        <w:rPr>
          <w:rFonts w:ascii="Times New Roman" w:hAnsi="Times New Roman" w:cs="Times New Roman"/>
          <w:sz w:val="28"/>
          <w:szCs w:val="28"/>
        </w:rPr>
        <w:t xml:space="preserve">) B Attwood &amp; S G Foster, National Museum of Australia, p 179.   </w:t>
      </w:r>
    </w:p>
    <w:p w:rsidR="0000585D" w:rsidRPr="0000585D" w:rsidRDefault="0000585D" w:rsidP="0000585D">
      <w:pPr>
        <w:pStyle w:val="ListParagraph"/>
        <w:ind w:left="360"/>
        <w:rPr>
          <w:rFonts w:ascii="Times New Roman" w:hAnsi="Times New Roman" w:cs="Times New Roman"/>
          <w:sz w:val="28"/>
          <w:szCs w:val="28"/>
        </w:rPr>
      </w:pPr>
    </w:p>
    <w:p w:rsidR="0000585D" w:rsidRPr="0000585D" w:rsidRDefault="0000585D" w:rsidP="0000585D">
      <w:pPr>
        <w:pStyle w:val="ListParagraph"/>
        <w:numPr>
          <w:ilvl w:val="0"/>
          <w:numId w:val="17"/>
        </w:numPr>
        <w:rPr>
          <w:rFonts w:ascii="Times New Roman" w:hAnsi="Times New Roman" w:cs="Times New Roman"/>
          <w:sz w:val="28"/>
          <w:szCs w:val="28"/>
        </w:rPr>
      </w:pPr>
      <w:r w:rsidRPr="0000585D">
        <w:rPr>
          <w:rFonts w:ascii="Times New Roman" w:hAnsi="Times New Roman" w:cs="Times New Roman"/>
          <w:sz w:val="28"/>
          <w:szCs w:val="28"/>
        </w:rPr>
        <w:t xml:space="preserve">R. Foster and A. </w:t>
      </w:r>
      <w:proofErr w:type="spellStart"/>
      <w:r w:rsidRPr="0000585D">
        <w:rPr>
          <w:rFonts w:ascii="Times New Roman" w:hAnsi="Times New Roman" w:cs="Times New Roman"/>
          <w:sz w:val="28"/>
          <w:szCs w:val="28"/>
        </w:rPr>
        <w:t>Nettlebeck</w:t>
      </w:r>
      <w:proofErr w:type="spellEnd"/>
      <w:r w:rsidRPr="0000585D">
        <w:rPr>
          <w:rFonts w:ascii="Times New Roman" w:hAnsi="Times New Roman" w:cs="Times New Roman"/>
          <w:sz w:val="28"/>
          <w:szCs w:val="28"/>
        </w:rPr>
        <w:t xml:space="preserve"> (2012), </w:t>
      </w:r>
      <w:r w:rsidRPr="0000585D">
        <w:rPr>
          <w:rFonts w:ascii="Times New Roman" w:hAnsi="Times New Roman" w:cs="Times New Roman"/>
          <w:i/>
          <w:sz w:val="28"/>
          <w:szCs w:val="28"/>
        </w:rPr>
        <w:t>Out of Silence: The History and Memory of South Australian</w:t>
      </w:r>
      <w:r w:rsidRPr="0000585D">
        <w:rPr>
          <w:rFonts w:ascii="Times New Roman" w:hAnsi="Times New Roman" w:cs="Times New Roman"/>
          <w:sz w:val="28"/>
          <w:szCs w:val="28"/>
        </w:rPr>
        <w:t xml:space="preserve"> </w:t>
      </w:r>
      <w:r w:rsidRPr="0000585D">
        <w:rPr>
          <w:rFonts w:ascii="Times New Roman" w:hAnsi="Times New Roman" w:cs="Times New Roman"/>
          <w:i/>
          <w:sz w:val="28"/>
          <w:szCs w:val="28"/>
        </w:rPr>
        <w:t>Wars</w:t>
      </w:r>
      <w:r w:rsidRPr="0000585D">
        <w:rPr>
          <w:rFonts w:ascii="Times New Roman" w:hAnsi="Times New Roman" w:cs="Times New Roman"/>
          <w:sz w:val="28"/>
          <w:szCs w:val="28"/>
        </w:rPr>
        <w:t xml:space="preserve">, Wakefield Press, Adelaide, pp 25-32. </w:t>
      </w:r>
      <w:hyperlink r:id="rId18" w:anchor="v=onepage&amp;q&amp;f=false" w:history="1">
        <w:r w:rsidRPr="0000585D">
          <w:rPr>
            <w:rStyle w:val="Hyperlink"/>
            <w:rFonts w:ascii="Times New Roman" w:hAnsi="Times New Roman" w:cs="Times New Roman"/>
            <w:sz w:val="28"/>
            <w:szCs w:val="28"/>
          </w:rPr>
          <w:t>https://books.google.co.uk/books?id=r9ETLG_aKbkC&amp;pg=PA32#v=onepage&amp;q&amp;f=false</w:t>
        </w:r>
      </w:hyperlink>
    </w:p>
    <w:p w:rsidR="0000585D" w:rsidRPr="0000585D" w:rsidRDefault="0000585D" w:rsidP="0000585D">
      <w:pPr>
        <w:pStyle w:val="ListParagraph"/>
        <w:ind w:left="360"/>
        <w:rPr>
          <w:rFonts w:ascii="Times New Roman" w:hAnsi="Times New Roman" w:cs="Times New Roman"/>
          <w:sz w:val="28"/>
          <w:szCs w:val="28"/>
        </w:rPr>
      </w:pPr>
    </w:p>
    <w:p w:rsidR="0000585D" w:rsidRPr="0000585D" w:rsidRDefault="0000585D" w:rsidP="0000585D">
      <w:pPr>
        <w:pStyle w:val="ListParagraph"/>
        <w:numPr>
          <w:ilvl w:val="0"/>
          <w:numId w:val="17"/>
        </w:numPr>
        <w:rPr>
          <w:rFonts w:ascii="Times New Roman" w:hAnsi="Times New Roman" w:cs="Times New Roman"/>
          <w:sz w:val="28"/>
          <w:szCs w:val="28"/>
        </w:rPr>
      </w:pPr>
      <w:r w:rsidRPr="0000585D">
        <w:rPr>
          <w:rFonts w:ascii="Times New Roman" w:hAnsi="Times New Roman" w:cs="Times New Roman"/>
          <w:sz w:val="28"/>
          <w:szCs w:val="28"/>
        </w:rPr>
        <w:t xml:space="preserve">R. M. Hague, H. </w:t>
      </w:r>
      <w:proofErr w:type="spellStart"/>
      <w:r w:rsidRPr="0000585D">
        <w:rPr>
          <w:rFonts w:ascii="Times New Roman" w:hAnsi="Times New Roman" w:cs="Times New Roman"/>
          <w:sz w:val="28"/>
          <w:szCs w:val="28"/>
        </w:rPr>
        <w:t>Whitington</w:t>
      </w:r>
      <w:proofErr w:type="spellEnd"/>
      <w:r w:rsidRPr="0000585D">
        <w:rPr>
          <w:rFonts w:ascii="Times New Roman" w:hAnsi="Times New Roman" w:cs="Times New Roman"/>
          <w:sz w:val="28"/>
          <w:szCs w:val="28"/>
        </w:rPr>
        <w:t xml:space="preserve"> (2005), </w:t>
      </w:r>
      <w:r w:rsidRPr="0000585D">
        <w:rPr>
          <w:rFonts w:ascii="Times New Roman" w:hAnsi="Times New Roman" w:cs="Times New Roman"/>
          <w:i/>
          <w:sz w:val="28"/>
          <w:szCs w:val="28"/>
        </w:rPr>
        <w:t>Hague’s History of the Law in South Australia</w:t>
      </w:r>
      <w:r w:rsidRPr="0000585D">
        <w:rPr>
          <w:rFonts w:ascii="Times New Roman" w:hAnsi="Times New Roman" w:cs="Times New Roman"/>
          <w:sz w:val="28"/>
          <w:szCs w:val="28"/>
        </w:rPr>
        <w:t xml:space="preserve">, Volume 1, Barr Smith Press, University of Adelaide. </w:t>
      </w:r>
    </w:p>
    <w:p w:rsidR="0000585D" w:rsidRPr="0000585D" w:rsidRDefault="0000585D" w:rsidP="0000585D">
      <w:pPr>
        <w:pStyle w:val="ListParagraph"/>
        <w:ind w:left="360"/>
        <w:rPr>
          <w:rFonts w:ascii="Times New Roman" w:hAnsi="Times New Roman" w:cs="Times New Roman"/>
          <w:sz w:val="28"/>
          <w:szCs w:val="28"/>
        </w:rPr>
      </w:pPr>
    </w:p>
    <w:p w:rsidR="0000585D" w:rsidRPr="0000585D" w:rsidRDefault="0000585D" w:rsidP="0000585D">
      <w:pPr>
        <w:pStyle w:val="ListParagraph"/>
        <w:numPr>
          <w:ilvl w:val="0"/>
          <w:numId w:val="17"/>
        </w:numPr>
        <w:rPr>
          <w:rFonts w:ascii="Times New Roman" w:hAnsi="Times New Roman" w:cs="Times New Roman"/>
          <w:sz w:val="28"/>
          <w:szCs w:val="28"/>
        </w:rPr>
      </w:pPr>
      <w:r w:rsidRPr="0000585D">
        <w:rPr>
          <w:rFonts w:ascii="Times New Roman" w:hAnsi="Times New Roman" w:cs="Times New Roman"/>
          <w:sz w:val="28"/>
          <w:szCs w:val="28"/>
        </w:rPr>
        <w:t xml:space="preserve">R. Hetherington (1966), Gawler, George (1795-1869), </w:t>
      </w:r>
      <w:hyperlink r:id="rId19" w:history="1">
        <w:r w:rsidRPr="0000585D">
          <w:rPr>
            <w:rStyle w:val="Hyperlink"/>
            <w:rFonts w:ascii="Times New Roman" w:hAnsi="Times New Roman" w:cs="Times New Roman"/>
            <w:sz w:val="28"/>
            <w:szCs w:val="28"/>
          </w:rPr>
          <w:t>http://adb.anu.edu.au/biography/gawler-george-2085</w:t>
        </w:r>
      </w:hyperlink>
      <w:r w:rsidRPr="0000585D">
        <w:rPr>
          <w:rFonts w:ascii="Times New Roman" w:hAnsi="Times New Roman" w:cs="Times New Roman"/>
          <w:sz w:val="28"/>
          <w:szCs w:val="28"/>
        </w:rPr>
        <w:t xml:space="preserve">  </w:t>
      </w:r>
      <w:r w:rsidRPr="0000585D">
        <w:rPr>
          <w:rFonts w:ascii="Times New Roman" w:hAnsi="Times New Roman" w:cs="Times New Roman"/>
          <w:i/>
          <w:color w:val="333333"/>
          <w:sz w:val="28"/>
          <w:szCs w:val="28"/>
        </w:rPr>
        <w:t>Australian Dictionary of Biography</w:t>
      </w:r>
      <w:r w:rsidRPr="0000585D">
        <w:rPr>
          <w:rFonts w:ascii="Times New Roman" w:hAnsi="Times New Roman" w:cs="Times New Roman"/>
          <w:color w:val="333333"/>
          <w:sz w:val="28"/>
          <w:szCs w:val="28"/>
        </w:rPr>
        <w:t>, National Centre of Biography, Australian National University, published first in hardcopy 1966, accessed online 24</w:t>
      </w:r>
      <w:r w:rsidRPr="0000585D">
        <w:rPr>
          <w:rFonts w:ascii="Times New Roman" w:hAnsi="Times New Roman" w:cs="Times New Roman"/>
          <w:color w:val="333333"/>
          <w:sz w:val="28"/>
          <w:szCs w:val="28"/>
          <w:vertAlign w:val="superscript"/>
        </w:rPr>
        <w:t>th</w:t>
      </w:r>
      <w:r w:rsidRPr="0000585D">
        <w:rPr>
          <w:rFonts w:ascii="Times New Roman" w:hAnsi="Times New Roman" w:cs="Times New Roman"/>
          <w:color w:val="333333"/>
          <w:sz w:val="28"/>
          <w:szCs w:val="28"/>
        </w:rPr>
        <w:t xml:space="preserve"> April 2018.</w:t>
      </w:r>
    </w:p>
    <w:p w:rsidR="0000585D" w:rsidRPr="0000585D" w:rsidRDefault="0000585D" w:rsidP="0000585D">
      <w:pPr>
        <w:pStyle w:val="ListParagraph"/>
        <w:ind w:left="360"/>
        <w:rPr>
          <w:rFonts w:ascii="Times New Roman" w:hAnsi="Times New Roman" w:cs="Times New Roman"/>
          <w:sz w:val="28"/>
          <w:szCs w:val="28"/>
        </w:rPr>
      </w:pPr>
    </w:p>
    <w:p w:rsidR="0000585D" w:rsidRPr="0000585D" w:rsidRDefault="0000585D" w:rsidP="0000585D">
      <w:pPr>
        <w:pStyle w:val="ListParagraph"/>
        <w:numPr>
          <w:ilvl w:val="0"/>
          <w:numId w:val="17"/>
        </w:numPr>
        <w:rPr>
          <w:rFonts w:ascii="Times New Roman" w:hAnsi="Times New Roman" w:cs="Times New Roman"/>
          <w:sz w:val="28"/>
          <w:szCs w:val="28"/>
        </w:rPr>
      </w:pPr>
      <w:r w:rsidRPr="0000585D">
        <w:rPr>
          <w:rFonts w:ascii="Times New Roman" w:hAnsi="Times New Roman" w:cs="Times New Roman"/>
          <w:color w:val="333333"/>
          <w:sz w:val="28"/>
          <w:szCs w:val="28"/>
        </w:rPr>
        <w:t xml:space="preserve">D. Pike (1967), </w:t>
      </w:r>
      <w:r w:rsidRPr="0000585D">
        <w:rPr>
          <w:rFonts w:ascii="Times New Roman" w:hAnsi="Times New Roman" w:cs="Times New Roman"/>
          <w:i/>
          <w:color w:val="333333"/>
          <w:sz w:val="28"/>
          <w:szCs w:val="28"/>
        </w:rPr>
        <w:t>Paradise of Dissent, South Australia 1829-1857</w:t>
      </w:r>
      <w:r w:rsidRPr="0000585D">
        <w:rPr>
          <w:rFonts w:ascii="Times New Roman" w:hAnsi="Times New Roman" w:cs="Times New Roman"/>
          <w:color w:val="333333"/>
          <w:sz w:val="28"/>
          <w:szCs w:val="28"/>
        </w:rPr>
        <w:t>, 2</w:t>
      </w:r>
      <w:r w:rsidRPr="0000585D">
        <w:rPr>
          <w:rFonts w:ascii="Times New Roman" w:hAnsi="Times New Roman" w:cs="Times New Roman"/>
          <w:color w:val="333333"/>
          <w:sz w:val="28"/>
          <w:szCs w:val="28"/>
          <w:vertAlign w:val="superscript"/>
        </w:rPr>
        <w:t>nd</w:t>
      </w:r>
      <w:r w:rsidRPr="0000585D">
        <w:rPr>
          <w:rFonts w:ascii="Times New Roman" w:hAnsi="Times New Roman" w:cs="Times New Roman"/>
          <w:color w:val="333333"/>
          <w:sz w:val="28"/>
          <w:szCs w:val="28"/>
        </w:rPr>
        <w:t xml:space="preserve"> </w:t>
      </w:r>
      <w:proofErr w:type="spellStart"/>
      <w:r w:rsidRPr="0000585D">
        <w:rPr>
          <w:rFonts w:ascii="Times New Roman" w:hAnsi="Times New Roman" w:cs="Times New Roman"/>
          <w:color w:val="333333"/>
          <w:sz w:val="28"/>
          <w:szCs w:val="28"/>
        </w:rPr>
        <w:t>ed</w:t>
      </w:r>
      <w:proofErr w:type="spellEnd"/>
      <w:r w:rsidRPr="0000585D">
        <w:rPr>
          <w:rFonts w:ascii="Times New Roman" w:hAnsi="Times New Roman" w:cs="Times New Roman"/>
          <w:color w:val="333333"/>
          <w:sz w:val="28"/>
          <w:szCs w:val="28"/>
        </w:rPr>
        <w:t xml:space="preserve">, Melbourne University Press, pp 230-242. </w:t>
      </w:r>
    </w:p>
    <w:p w:rsidR="0000585D" w:rsidRPr="0000585D" w:rsidRDefault="0000585D" w:rsidP="0000585D">
      <w:pPr>
        <w:pStyle w:val="ListParagraph"/>
        <w:rPr>
          <w:rFonts w:ascii="Times New Roman" w:hAnsi="Times New Roman" w:cs="Times New Roman"/>
          <w:color w:val="333333"/>
          <w:sz w:val="28"/>
          <w:szCs w:val="28"/>
        </w:rPr>
      </w:pPr>
    </w:p>
    <w:p w:rsidR="00EB6CA7" w:rsidRPr="00BC5AD8" w:rsidRDefault="0000585D" w:rsidP="00450404">
      <w:pPr>
        <w:pStyle w:val="ListParagraph"/>
        <w:numPr>
          <w:ilvl w:val="0"/>
          <w:numId w:val="17"/>
        </w:numPr>
        <w:ind w:firstLine="0"/>
        <w:rPr>
          <w:sz w:val="28"/>
          <w:szCs w:val="28"/>
        </w:rPr>
      </w:pPr>
      <w:r w:rsidRPr="00BC5AD8">
        <w:rPr>
          <w:rFonts w:ascii="Times New Roman" w:hAnsi="Times New Roman" w:cs="Times New Roman"/>
          <w:color w:val="333333"/>
          <w:sz w:val="28"/>
          <w:szCs w:val="28"/>
        </w:rPr>
        <w:t xml:space="preserve">I </w:t>
      </w:r>
      <w:proofErr w:type="spellStart"/>
      <w:r w:rsidRPr="00BC5AD8">
        <w:rPr>
          <w:rFonts w:ascii="Times New Roman" w:hAnsi="Times New Roman" w:cs="Times New Roman"/>
          <w:color w:val="333333"/>
          <w:sz w:val="28"/>
          <w:szCs w:val="28"/>
        </w:rPr>
        <w:t>Radbone</w:t>
      </w:r>
      <w:proofErr w:type="spellEnd"/>
      <w:r w:rsidRPr="00BC5AD8">
        <w:rPr>
          <w:rFonts w:ascii="Times New Roman" w:hAnsi="Times New Roman" w:cs="Times New Roman"/>
          <w:color w:val="333333"/>
          <w:sz w:val="28"/>
          <w:szCs w:val="28"/>
        </w:rPr>
        <w:t xml:space="preserve"> and J Robbins (1986) ‘Chapter 14 The History of the South Australian Public Service’ in  D Jaensch (</w:t>
      </w:r>
      <w:proofErr w:type="spellStart"/>
      <w:r w:rsidRPr="00BC5AD8">
        <w:rPr>
          <w:rFonts w:ascii="Times New Roman" w:hAnsi="Times New Roman" w:cs="Times New Roman"/>
          <w:color w:val="333333"/>
          <w:sz w:val="28"/>
          <w:szCs w:val="28"/>
        </w:rPr>
        <w:t>ed</w:t>
      </w:r>
      <w:proofErr w:type="spellEnd"/>
      <w:r w:rsidRPr="00BC5AD8">
        <w:rPr>
          <w:rFonts w:ascii="Times New Roman" w:hAnsi="Times New Roman" w:cs="Times New Roman"/>
          <w:color w:val="333333"/>
          <w:sz w:val="28"/>
          <w:szCs w:val="28"/>
        </w:rPr>
        <w:t xml:space="preserve">) </w:t>
      </w:r>
      <w:r w:rsidRPr="00BC5AD8">
        <w:rPr>
          <w:rFonts w:ascii="Times New Roman" w:hAnsi="Times New Roman" w:cs="Times New Roman"/>
          <w:i/>
          <w:color w:val="333333"/>
          <w:sz w:val="28"/>
          <w:szCs w:val="28"/>
        </w:rPr>
        <w:t>The Flinders History of South Australia</w:t>
      </w:r>
      <w:r w:rsidRPr="00BC5AD8">
        <w:rPr>
          <w:rFonts w:ascii="Times New Roman" w:hAnsi="Times New Roman" w:cs="Times New Roman"/>
          <w:color w:val="333333"/>
          <w:sz w:val="28"/>
          <w:szCs w:val="28"/>
        </w:rPr>
        <w:t xml:space="preserve">, </w:t>
      </w:r>
      <w:r w:rsidRPr="00BC5AD8">
        <w:rPr>
          <w:rFonts w:ascii="Times New Roman" w:hAnsi="Times New Roman" w:cs="Times New Roman"/>
          <w:i/>
          <w:color w:val="333333"/>
          <w:sz w:val="28"/>
          <w:szCs w:val="28"/>
        </w:rPr>
        <w:t>Political History</w:t>
      </w:r>
      <w:r w:rsidRPr="00BC5AD8">
        <w:rPr>
          <w:rFonts w:ascii="Times New Roman" w:hAnsi="Times New Roman" w:cs="Times New Roman"/>
          <w:color w:val="333333"/>
          <w:sz w:val="28"/>
          <w:szCs w:val="28"/>
        </w:rPr>
        <w:t>, Wakefi</w:t>
      </w:r>
      <w:r w:rsidR="00BC5AD8" w:rsidRPr="00BC5AD8">
        <w:rPr>
          <w:rFonts w:ascii="Times New Roman" w:hAnsi="Times New Roman" w:cs="Times New Roman"/>
          <w:color w:val="333333"/>
          <w:sz w:val="28"/>
          <w:szCs w:val="28"/>
        </w:rPr>
        <w:t>eld Press, Adelaide, pp 44</w:t>
      </w:r>
    </w:p>
    <w:sectPr w:rsidR="00EB6CA7" w:rsidRPr="00BC5AD8" w:rsidSect="002A5FDD">
      <w:headerReference w:type="even" r:id="rId20"/>
      <w:headerReference w:type="default" r:id="rId21"/>
      <w:footerReference w:type="even" r:id="rId22"/>
      <w:footerReference w:type="default" r:id="rId23"/>
      <w:headerReference w:type="first" r:id="rId24"/>
      <w:footerReference w:type="first" r:id="rId25"/>
      <w:pgSz w:w="16838" w:h="23811"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7F8" w:rsidRDefault="00C377F8">
      <w:r>
        <w:separator/>
      </w:r>
    </w:p>
    <w:p w:rsidR="00C377F8" w:rsidRDefault="00C377F8"/>
  </w:endnote>
  <w:endnote w:type="continuationSeparator" w:id="0">
    <w:p w:rsidR="00C377F8" w:rsidRDefault="00C377F8">
      <w:r>
        <w:continuationSeparator/>
      </w:r>
    </w:p>
    <w:p w:rsidR="00C377F8" w:rsidRDefault="00C377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altName w:val="Sitka Sma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MinionPro-Regular">
    <w:altName w:val="Calibri"/>
    <w:charset w:val="4D"/>
    <w:family w:val="auto"/>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Kunstler Script">
    <w:panose1 w:val="030304020206070D0D06"/>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A93" w:rsidRDefault="001270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20C" w:rsidRDefault="001270B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A93" w:rsidRDefault="001270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7F8" w:rsidRDefault="00C377F8">
      <w:r>
        <w:separator/>
      </w:r>
    </w:p>
    <w:p w:rsidR="00C377F8" w:rsidRDefault="00C377F8"/>
  </w:footnote>
  <w:footnote w:type="continuationSeparator" w:id="0">
    <w:p w:rsidR="00C377F8" w:rsidRDefault="00C377F8">
      <w:r>
        <w:continuationSeparator/>
      </w:r>
    </w:p>
    <w:p w:rsidR="00C377F8" w:rsidRDefault="00C377F8"/>
  </w:footnote>
  <w:footnote w:id="1">
    <w:p w:rsidR="006E5BE5" w:rsidRPr="00734F74" w:rsidRDefault="006E5BE5" w:rsidP="006E5BE5">
      <w:pPr>
        <w:pStyle w:val="FootnoteText"/>
        <w:rPr>
          <w:rFonts w:ascii="Times New Roman" w:hAnsi="Times New Roman" w:cs="Times New Roman"/>
        </w:rPr>
      </w:pPr>
      <w:r w:rsidRPr="00734F74">
        <w:rPr>
          <w:rStyle w:val="FootnoteReference"/>
          <w:rFonts w:ascii="Times New Roman" w:hAnsi="Times New Roman" w:cs="Times New Roman"/>
        </w:rPr>
        <w:footnoteRef/>
      </w:r>
      <w:r w:rsidRPr="00734F74">
        <w:rPr>
          <w:rFonts w:ascii="Times New Roman" w:hAnsi="Times New Roman" w:cs="Times New Roman"/>
        </w:rPr>
        <w:t xml:space="preserve"> George Gawler SASL [B5982]</w:t>
      </w:r>
    </w:p>
  </w:footnote>
  <w:footnote w:id="2">
    <w:p w:rsidR="006E5BE5" w:rsidRPr="005161B9" w:rsidRDefault="006E5BE5" w:rsidP="006E5BE5">
      <w:pPr>
        <w:pStyle w:val="FootnoteText"/>
        <w:rPr>
          <w:rFonts w:ascii="Times New Roman" w:hAnsi="Times New Roman" w:cs="Times New Roman"/>
        </w:rPr>
      </w:pPr>
      <w:r w:rsidRPr="005161B9">
        <w:rPr>
          <w:rStyle w:val="FootnoteReference"/>
          <w:rFonts w:ascii="Times New Roman" w:hAnsi="Times New Roman" w:cs="Times New Roman"/>
        </w:rPr>
        <w:footnoteRef/>
      </w:r>
      <w:r w:rsidRPr="005161B9">
        <w:rPr>
          <w:rFonts w:ascii="Times New Roman" w:hAnsi="Times New Roman" w:cs="Times New Roman"/>
        </w:rPr>
        <w:t>Pike (1967)</w:t>
      </w:r>
      <w:r>
        <w:rPr>
          <w:rFonts w:ascii="Times New Roman" w:hAnsi="Times New Roman" w:cs="Times New Roman"/>
        </w:rPr>
        <w:t xml:space="preserve">; </w:t>
      </w:r>
      <w:r w:rsidRPr="005161B9">
        <w:rPr>
          <w:rFonts w:ascii="Times New Roman" w:hAnsi="Times New Roman" w:cs="Times New Roman"/>
        </w:rPr>
        <w:t xml:space="preserve"> Hague (2005) </w:t>
      </w:r>
    </w:p>
  </w:footnote>
  <w:footnote w:id="3">
    <w:p w:rsidR="006E5BE5" w:rsidRPr="005161B9" w:rsidRDefault="006E5BE5" w:rsidP="006E5BE5">
      <w:pPr>
        <w:pStyle w:val="FootnoteText"/>
        <w:rPr>
          <w:rFonts w:ascii="Times New Roman" w:hAnsi="Times New Roman" w:cs="Times New Roman"/>
        </w:rPr>
      </w:pPr>
      <w:r w:rsidRPr="005161B9">
        <w:rPr>
          <w:rStyle w:val="FootnoteReference"/>
          <w:rFonts w:ascii="Times New Roman" w:hAnsi="Times New Roman" w:cs="Times New Roman"/>
        </w:rPr>
        <w:footnoteRef/>
      </w:r>
      <w:r w:rsidRPr="005161B9">
        <w:rPr>
          <w:rFonts w:ascii="Times New Roman" w:hAnsi="Times New Roman" w:cs="Times New Roman"/>
        </w:rPr>
        <w:t xml:space="preserve"> Pike (1967)</w:t>
      </w:r>
    </w:p>
  </w:footnote>
  <w:footnote w:id="4">
    <w:p w:rsidR="006E5BE5" w:rsidRPr="005161B9" w:rsidRDefault="006E5BE5" w:rsidP="006E5BE5">
      <w:pPr>
        <w:pStyle w:val="FootnoteText"/>
        <w:rPr>
          <w:rFonts w:ascii="Times New Roman" w:hAnsi="Times New Roman" w:cs="Times New Roman"/>
        </w:rPr>
      </w:pPr>
      <w:r w:rsidRPr="005161B9">
        <w:rPr>
          <w:rStyle w:val="FootnoteReference"/>
          <w:rFonts w:ascii="Times New Roman" w:hAnsi="Times New Roman" w:cs="Times New Roman"/>
        </w:rPr>
        <w:footnoteRef/>
      </w:r>
      <w:r w:rsidRPr="005161B9">
        <w:rPr>
          <w:rFonts w:ascii="Times New Roman" w:hAnsi="Times New Roman" w:cs="Times New Roman"/>
        </w:rPr>
        <w:t xml:space="preserve"> Pike (1967), p 231</w:t>
      </w:r>
    </w:p>
  </w:footnote>
  <w:footnote w:id="5">
    <w:p w:rsidR="006E5BE5" w:rsidRPr="005161B9" w:rsidRDefault="006E5BE5" w:rsidP="006E5BE5">
      <w:pPr>
        <w:pStyle w:val="FootnoteText"/>
        <w:rPr>
          <w:rFonts w:ascii="Times New Roman" w:hAnsi="Times New Roman" w:cs="Times New Roman"/>
        </w:rPr>
      </w:pPr>
      <w:r w:rsidRPr="005161B9">
        <w:rPr>
          <w:rStyle w:val="FootnoteReference"/>
          <w:rFonts w:ascii="Times New Roman" w:hAnsi="Times New Roman" w:cs="Times New Roman"/>
        </w:rPr>
        <w:footnoteRef/>
      </w:r>
      <w:r w:rsidRPr="005161B9">
        <w:rPr>
          <w:rFonts w:ascii="Times New Roman" w:hAnsi="Times New Roman" w:cs="Times New Roman"/>
        </w:rPr>
        <w:t xml:space="preserve"> </w:t>
      </w:r>
      <w:proofErr w:type="spellStart"/>
      <w:r w:rsidRPr="005161B9">
        <w:rPr>
          <w:rFonts w:ascii="Times New Roman" w:hAnsi="Times New Roman" w:cs="Times New Roman"/>
        </w:rPr>
        <w:t>Radbone</w:t>
      </w:r>
      <w:proofErr w:type="spellEnd"/>
      <w:r w:rsidRPr="005161B9">
        <w:rPr>
          <w:rFonts w:ascii="Times New Roman" w:hAnsi="Times New Roman" w:cs="Times New Roman"/>
        </w:rPr>
        <w:t xml:space="preserve"> &amp; Robbins (1986), p 450</w:t>
      </w:r>
    </w:p>
  </w:footnote>
  <w:footnote w:id="6">
    <w:p w:rsidR="006E5BE5" w:rsidRPr="005161B9" w:rsidRDefault="006E5BE5" w:rsidP="006E5BE5">
      <w:pPr>
        <w:pStyle w:val="FootnoteText"/>
        <w:rPr>
          <w:rFonts w:ascii="Times New Roman" w:hAnsi="Times New Roman" w:cs="Times New Roman"/>
        </w:rPr>
      </w:pPr>
      <w:r w:rsidRPr="005161B9">
        <w:rPr>
          <w:rStyle w:val="FootnoteReference"/>
          <w:rFonts w:ascii="Times New Roman" w:hAnsi="Times New Roman" w:cs="Times New Roman"/>
        </w:rPr>
        <w:footnoteRef/>
      </w:r>
      <w:r w:rsidRPr="005161B9">
        <w:rPr>
          <w:rFonts w:ascii="Times New Roman" w:hAnsi="Times New Roman" w:cs="Times New Roman"/>
        </w:rPr>
        <w:t xml:space="preserve"> Foster, &amp; </w:t>
      </w:r>
      <w:proofErr w:type="spellStart"/>
      <w:r w:rsidRPr="005161B9">
        <w:rPr>
          <w:rFonts w:ascii="Times New Roman" w:hAnsi="Times New Roman" w:cs="Times New Roman"/>
        </w:rPr>
        <w:t>Nettlebeck</w:t>
      </w:r>
      <w:proofErr w:type="spellEnd"/>
      <w:r w:rsidRPr="005161B9">
        <w:rPr>
          <w:rFonts w:ascii="Times New Roman" w:hAnsi="Times New Roman" w:cs="Times New Roman"/>
        </w:rPr>
        <w:t xml:space="preserve"> (2012), 26-27</w:t>
      </w:r>
    </w:p>
  </w:footnote>
  <w:footnote w:id="7">
    <w:p w:rsidR="006E5BE5" w:rsidRPr="005161B9" w:rsidRDefault="006E5BE5" w:rsidP="006E5BE5">
      <w:pPr>
        <w:pStyle w:val="FootnoteText"/>
        <w:rPr>
          <w:rFonts w:ascii="Times New Roman" w:hAnsi="Times New Roman" w:cs="Times New Roman"/>
        </w:rPr>
      </w:pPr>
      <w:r w:rsidRPr="005161B9">
        <w:rPr>
          <w:rStyle w:val="FootnoteReference"/>
          <w:rFonts w:ascii="Times New Roman" w:hAnsi="Times New Roman" w:cs="Times New Roman"/>
        </w:rPr>
        <w:footnoteRef/>
      </w:r>
      <w:r>
        <w:rPr>
          <w:rFonts w:ascii="Times New Roman" w:hAnsi="Times New Roman" w:cs="Times New Roman"/>
        </w:rPr>
        <w:t xml:space="preserve"> Foster &amp; </w:t>
      </w:r>
      <w:proofErr w:type="spellStart"/>
      <w:r w:rsidRPr="005161B9">
        <w:rPr>
          <w:rFonts w:ascii="Times New Roman" w:hAnsi="Times New Roman" w:cs="Times New Roman"/>
        </w:rPr>
        <w:t>Nettlebeck</w:t>
      </w:r>
      <w:proofErr w:type="spellEnd"/>
      <w:r w:rsidRPr="005161B9">
        <w:rPr>
          <w:rFonts w:ascii="Times New Roman" w:hAnsi="Times New Roman" w:cs="Times New Roman"/>
        </w:rPr>
        <w:t xml:space="preserve"> (2012)</w:t>
      </w:r>
      <w:r>
        <w:rPr>
          <w:rFonts w:ascii="Times New Roman" w:hAnsi="Times New Roman" w:cs="Times New Roman"/>
        </w:rPr>
        <w:t>,  p 5</w:t>
      </w:r>
    </w:p>
  </w:footnote>
  <w:footnote w:id="8">
    <w:p w:rsidR="006E5BE5" w:rsidRPr="005161B9" w:rsidRDefault="006E5BE5" w:rsidP="006E5BE5">
      <w:pPr>
        <w:pStyle w:val="FootnoteText"/>
        <w:rPr>
          <w:rFonts w:ascii="Times New Roman" w:hAnsi="Times New Roman" w:cs="Times New Roman"/>
        </w:rPr>
      </w:pPr>
      <w:r w:rsidRPr="005161B9">
        <w:rPr>
          <w:rStyle w:val="FootnoteReference"/>
          <w:rFonts w:ascii="Times New Roman" w:hAnsi="Times New Roman" w:cs="Times New Roman"/>
        </w:rPr>
        <w:footnoteRef/>
      </w:r>
      <w:r w:rsidRPr="005161B9">
        <w:rPr>
          <w:rFonts w:ascii="Times New Roman" w:hAnsi="Times New Roman" w:cs="Times New Roman"/>
        </w:rPr>
        <w:t xml:space="preserve"> Foster &amp; </w:t>
      </w:r>
      <w:proofErr w:type="spellStart"/>
      <w:r w:rsidRPr="005161B9">
        <w:rPr>
          <w:rFonts w:ascii="Times New Roman" w:hAnsi="Times New Roman" w:cs="Times New Roman"/>
        </w:rPr>
        <w:t>Nettlebeck</w:t>
      </w:r>
      <w:proofErr w:type="spellEnd"/>
      <w:r w:rsidRPr="005161B9">
        <w:rPr>
          <w:rFonts w:ascii="Times New Roman" w:hAnsi="Times New Roman" w:cs="Times New Roman"/>
        </w:rPr>
        <w:t xml:space="preserve"> (201</w:t>
      </w:r>
      <w:r>
        <w:rPr>
          <w:rFonts w:ascii="Times New Roman" w:hAnsi="Times New Roman" w:cs="Times New Roman"/>
        </w:rPr>
        <w:t>2</w:t>
      </w:r>
      <w:r w:rsidRPr="005161B9">
        <w:rPr>
          <w:rFonts w:ascii="Times New Roman" w:hAnsi="Times New Roman" w:cs="Times New Roman"/>
        </w:rPr>
        <w:t>), pp 58, 26</w:t>
      </w:r>
    </w:p>
  </w:footnote>
  <w:footnote w:id="9">
    <w:p w:rsidR="006E5BE5" w:rsidRPr="00734F74" w:rsidRDefault="006E5BE5" w:rsidP="006E5BE5">
      <w:pPr>
        <w:pStyle w:val="FootnoteText"/>
        <w:rPr>
          <w:rFonts w:ascii="Times New Roman" w:hAnsi="Times New Roman" w:cs="Times New Roman"/>
        </w:rPr>
      </w:pPr>
      <w:r w:rsidRPr="00734F74">
        <w:rPr>
          <w:rStyle w:val="FootnoteReference"/>
          <w:rFonts w:ascii="Times New Roman" w:hAnsi="Times New Roman" w:cs="Times New Roman"/>
        </w:rPr>
        <w:footnoteRef/>
      </w:r>
      <w:r w:rsidRPr="00734F74">
        <w:rPr>
          <w:rFonts w:ascii="Times New Roman" w:hAnsi="Times New Roman" w:cs="Times New Roman"/>
        </w:rPr>
        <w:t xml:space="preserve"> </w:t>
      </w:r>
      <w:hyperlink r:id="rId1" w:history="1">
        <w:r w:rsidRPr="00734F74">
          <w:rPr>
            <w:rStyle w:val="Hyperlink"/>
            <w:rFonts w:ascii="Times New Roman" w:hAnsi="Times New Roman" w:cs="Times New Roman"/>
          </w:rPr>
          <w:t>https://trove.nla.gov.au/newspaper/article/131950481</w:t>
        </w:r>
      </w:hyperlink>
    </w:p>
  </w:footnote>
  <w:footnote w:id="10">
    <w:p w:rsidR="006E5BE5" w:rsidRPr="00734F74" w:rsidRDefault="006E5BE5" w:rsidP="006E5BE5">
      <w:pPr>
        <w:pStyle w:val="FootnoteText"/>
        <w:rPr>
          <w:rFonts w:ascii="Times New Roman" w:hAnsi="Times New Roman" w:cs="Times New Roman"/>
        </w:rPr>
      </w:pPr>
      <w:r w:rsidRPr="00734F74">
        <w:rPr>
          <w:rStyle w:val="FootnoteReference"/>
          <w:rFonts w:ascii="Times New Roman" w:hAnsi="Times New Roman" w:cs="Times New Roman"/>
        </w:rPr>
        <w:footnoteRef/>
      </w:r>
      <w:r w:rsidRPr="00734F74">
        <w:rPr>
          <w:rFonts w:ascii="Times New Roman" w:hAnsi="Times New Roman" w:cs="Times New Roman"/>
        </w:rPr>
        <w:t xml:space="preserve"> </w:t>
      </w:r>
      <w:proofErr w:type="spellStart"/>
      <w:r w:rsidRPr="00734F74">
        <w:rPr>
          <w:rFonts w:ascii="Times New Roman" w:hAnsi="Times New Roman" w:cs="Times New Roman"/>
          <w:i/>
        </w:rPr>
        <w:t>Pilgaru</w:t>
      </w:r>
      <w:proofErr w:type="spellEnd"/>
      <w:r w:rsidRPr="00734F74">
        <w:rPr>
          <w:rFonts w:ascii="Times New Roman" w:hAnsi="Times New Roman" w:cs="Times New Roman"/>
          <w:i/>
        </w:rPr>
        <w:t>- Two natives hung for murder</w:t>
      </w:r>
      <w:r w:rsidRPr="00734F74">
        <w:rPr>
          <w:rFonts w:ascii="Times New Roman" w:hAnsi="Times New Roman" w:cs="Times New Roman"/>
        </w:rPr>
        <w:t xml:space="preserve">, September 1840, cited in Attwood (2003) p 179. </w:t>
      </w:r>
    </w:p>
  </w:footnote>
  <w:footnote w:id="11">
    <w:p w:rsidR="006E5BE5" w:rsidRPr="00734F74" w:rsidRDefault="006E5BE5" w:rsidP="006E5BE5">
      <w:pPr>
        <w:pStyle w:val="FootnoteText"/>
        <w:rPr>
          <w:rFonts w:ascii="Times New Roman" w:hAnsi="Times New Roman" w:cs="Times New Roman"/>
        </w:rPr>
      </w:pPr>
      <w:r w:rsidRPr="00734F74">
        <w:rPr>
          <w:rStyle w:val="FootnoteReference"/>
          <w:rFonts w:ascii="Times New Roman" w:hAnsi="Times New Roman" w:cs="Times New Roman"/>
        </w:rPr>
        <w:footnoteRef/>
      </w:r>
      <w:r w:rsidRPr="00734F74">
        <w:rPr>
          <w:rFonts w:ascii="Times New Roman" w:hAnsi="Times New Roman" w:cs="Times New Roman"/>
        </w:rPr>
        <w:t xml:space="preserve"> G. Dutton (1974), White on Black, Macmillan, Melbourne, pp124-5, cited in Attwood p. 179.  </w:t>
      </w:r>
    </w:p>
  </w:footnote>
  <w:footnote w:id="12">
    <w:p w:rsidR="006E5BE5" w:rsidRPr="00734F74" w:rsidRDefault="006E5BE5" w:rsidP="006E5BE5">
      <w:pPr>
        <w:pStyle w:val="FootnoteText"/>
        <w:rPr>
          <w:rFonts w:ascii="Times New Roman" w:hAnsi="Times New Roman" w:cs="Times New Roman"/>
        </w:rPr>
      </w:pPr>
      <w:r w:rsidRPr="00734F74">
        <w:rPr>
          <w:rStyle w:val="FootnoteReference"/>
          <w:rFonts w:ascii="Times New Roman" w:hAnsi="Times New Roman" w:cs="Times New Roman"/>
        </w:rPr>
        <w:footnoteRef/>
      </w:r>
      <w:r w:rsidRPr="00734F74">
        <w:rPr>
          <w:rFonts w:ascii="Times New Roman" w:hAnsi="Times New Roman" w:cs="Times New Roman"/>
        </w:rPr>
        <w:t xml:space="preserve"> Foster &amp; </w:t>
      </w:r>
      <w:proofErr w:type="spellStart"/>
      <w:r w:rsidRPr="00734F74">
        <w:rPr>
          <w:rFonts w:ascii="Times New Roman" w:hAnsi="Times New Roman" w:cs="Times New Roman"/>
        </w:rPr>
        <w:t>Nettlebeck</w:t>
      </w:r>
      <w:proofErr w:type="spellEnd"/>
      <w:r w:rsidRPr="00734F74">
        <w:rPr>
          <w:rFonts w:ascii="Times New Roman" w:hAnsi="Times New Roman" w:cs="Times New Roman"/>
        </w:rPr>
        <w:t xml:space="preserve"> (2012), pp 31-32, South Australian Register 1840</w:t>
      </w:r>
    </w:p>
  </w:footnote>
  <w:footnote w:id="13">
    <w:p w:rsidR="006E5BE5" w:rsidRPr="00734F74" w:rsidRDefault="006E5BE5" w:rsidP="006E5BE5">
      <w:pPr>
        <w:pStyle w:val="FootnoteText"/>
        <w:rPr>
          <w:rFonts w:ascii="Times New Roman" w:hAnsi="Times New Roman" w:cs="Times New Roman"/>
        </w:rPr>
      </w:pPr>
      <w:r w:rsidRPr="00734F74">
        <w:rPr>
          <w:rStyle w:val="FootnoteReference"/>
          <w:rFonts w:ascii="Times New Roman" w:hAnsi="Times New Roman" w:cs="Times New Roman"/>
        </w:rPr>
        <w:footnoteRef/>
      </w:r>
      <w:r w:rsidRPr="00734F74">
        <w:rPr>
          <w:rFonts w:ascii="Times New Roman" w:hAnsi="Times New Roman" w:cs="Times New Roman"/>
        </w:rPr>
        <w:t xml:space="preserve"> Foster &amp; </w:t>
      </w:r>
      <w:proofErr w:type="spellStart"/>
      <w:r w:rsidRPr="00734F74">
        <w:rPr>
          <w:rFonts w:ascii="Times New Roman" w:hAnsi="Times New Roman" w:cs="Times New Roman"/>
        </w:rPr>
        <w:t>Nettlebeck</w:t>
      </w:r>
      <w:proofErr w:type="spellEnd"/>
      <w:r w:rsidRPr="00734F74">
        <w:rPr>
          <w:rFonts w:ascii="Times New Roman" w:hAnsi="Times New Roman" w:cs="Times New Roman"/>
        </w:rPr>
        <w:t xml:space="preserve"> (2012), p32</w:t>
      </w:r>
    </w:p>
  </w:footnote>
  <w:footnote w:id="14">
    <w:p w:rsidR="0000585D" w:rsidRPr="00734F74" w:rsidRDefault="0000585D" w:rsidP="0000585D">
      <w:pPr>
        <w:pStyle w:val="FootnoteText"/>
        <w:rPr>
          <w:rFonts w:ascii="Times New Roman" w:hAnsi="Times New Roman" w:cs="Times New Roman"/>
        </w:rPr>
      </w:pPr>
      <w:r w:rsidRPr="00734F74">
        <w:rPr>
          <w:rStyle w:val="FootnoteReference"/>
          <w:rFonts w:ascii="Times New Roman" w:hAnsi="Times New Roman" w:cs="Times New Roman"/>
        </w:rPr>
        <w:footnoteRef/>
      </w:r>
      <w:r w:rsidRPr="00734F74">
        <w:rPr>
          <w:rFonts w:ascii="Times New Roman" w:hAnsi="Times New Roman" w:cs="Times New Roman"/>
        </w:rPr>
        <w:t xml:space="preserve"> Pike (1967), p 230</w:t>
      </w:r>
    </w:p>
  </w:footnote>
  <w:footnote w:id="15">
    <w:p w:rsidR="0000585D" w:rsidRPr="00D33056" w:rsidRDefault="0000585D" w:rsidP="0000585D">
      <w:pPr>
        <w:pStyle w:val="FootnoteText"/>
        <w:rPr>
          <w:rFonts w:ascii="Times New Roman" w:hAnsi="Times New Roman" w:cs="Times New Roman"/>
        </w:rPr>
      </w:pPr>
      <w:r w:rsidRPr="00D33056">
        <w:rPr>
          <w:rStyle w:val="FootnoteReference"/>
          <w:rFonts w:ascii="Times New Roman" w:hAnsi="Times New Roman" w:cs="Times New Roman"/>
        </w:rPr>
        <w:footnoteRef/>
      </w:r>
      <w:r w:rsidRPr="00D33056">
        <w:rPr>
          <w:rFonts w:ascii="Times New Roman" w:hAnsi="Times New Roman" w:cs="Times New Roman"/>
        </w:rPr>
        <w:t xml:space="preserve"> Gawler SLSA [B21710] </w:t>
      </w:r>
      <w:hyperlink r:id="rId2" w:history="1">
        <w:r w:rsidRPr="00D33056">
          <w:rPr>
            <w:rStyle w:val="Hyperlink"/>
            <w:rFonts w:ascii="Times New Roman" w:hAnsi="Times New Roman" w:cs="Times New Roman"/>
          </w:rPr>
          <w:t>https://collections.slsa.sa.gov.au/resource/B+21710</w:t>
        </w:r>
      </w:hyperlink>
      <w:r w:rsidRPr="00D33056">
        <w:rPr>
          <w:rFonts w:ascii="Times New Roman" w:hAnsi="Times New Roman" w:cs="Times New Roman"/>
        </w:rPr>
        <w:t xml:space="preserve"> </w:t>
      </w:r>
    </w:p>
  </w:footnote>
  <w:footnote w:id="16">
    <w:p w:rsidR="0000585D" w:rsidRPr="008109FA" w:rsidRDefault="0000585D" w:rsidP="0000585D">
      <w:pPr>
        <w:pStyle w:val="FootnoteText"/>
        <w:rPr>
          <w:rFonts w:ascii="Times New Roman" w:hAnsi="Times New Roman" w:cs="Times New Roman"/>
        </w:rPr>
      </w:pPr>
      <w:r w:rsidRPr="008109FA">
        <w:rPr>
          <w:rStyle w:val="FootnoteReference"/>
          <w:rFonts w:ascii="Times New Roman" w:hAnsi="Times New Roman" w:cs="Times New Roman"/>
        </w:rPr>
        <w:footnoteRef/>
      </w:r>
      <w:r w:rsidRPr="008109FA">
        <w:rPr>
          <w:rFonts w:ascii="Times New Roman" w:hAnsi="Times New Roman" w:cs="Times New Roman"/>
        </w:rPr>
        <w:t xml:space="preserve"> Gawler </w:t>
      </w:r>
      <w:r>
        <w:rPr>
          <w:rFonts w:ascii="Times New Roman" w:hAnsi="Times New Roman" w:cs="Times New Roman"/>
        </w:rPr>
        <w:t>SLSA</w:t>
      </w:r>
      <w:r w:rsidRPr="008109FA">
        <w:rPr>
          <w:rFonts w:ascii="Times New Roman" w:hAnsi="Times New Roman" w:cs="Times New Roman"/>
        </w:rPr>
        <w:t xml:space="preserve"> [B41188] </w:t>
      </w:r>
      <w:hyperlink r:id="rId3" w:history="1">
        <w:r w:rsidRPr="008109FA">
          <w:rPr>
            <w:rStyle w:val="Hyperlink"/>
            <w:rFonts w:ascii="Times New Roman" w:hAnsi="Times New Roman" w:cs="Times New Roman"/>
          </w:rPr>
          <w:t>https://collections.slsa.sa.gov.au/resource/B+41188</w:t>
        </w:r>
      </w:hyperlink>
      <w:r w:rsidRPr="008109FA">
        <w:rPr>
          <w:rFonts w:ascii="Times New Roman" w:hAnsi="Times New Roman" w:cs="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A93" w:rsidRDefault="001270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85A" w:rsidRPr="00BC5AD8" w:rsidRDefault="001270B0" w:rsidP="00BC5AD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A93" w:rsidRDefault="001270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C1799"/>
    <w:multiLevelType w:val="hybridMultilevel"/>
    <w:tmpl w:val="5B96F4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14E4341E"/>
    <w:multiLevelType w:val="hybridMultilevel"/>
    <w:tmpl w:val="2AC4F3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D730E0B"/>
    <w:multiLevelType w:val="hybridMultilevel"/>
    <w:tmpl w:val="7206E3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F1F2D9B"/>
    <w:multiLevelType w:val="hybridMultilevel"/>
    <w:tmpl w:val="E7B8FF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271640AA"/>
    <w:multiLevelType w:val="hybridMultilevel"/>
    <w:tmpl w:val="9356D1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2DA66B5C"/>
    <w:multiLevelType w:val="hybridMultilevel"/>
    <w:tmpl w:val="437092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31D46123"/>
    <w:multiLevelType w:val="hybridMultilevel"/>
    <w:tmpl w:val="F7785A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38F1389C"/>
    <w:multiLevelType w:val="hybridMultilevel"/>
    <w:tmpl w:val="85128C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3B4C0B49"/>
    <w:multiLevelType w:val="hybridMultilevel"/>
    <w:tmpl w:val="38349C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3CC91DCB"/>
    <w:multiLevelType w:val="hybridMultilevel"/>
    <w:tmpl w:val="54801F5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439B5E7A"/>
    <w:multiLevelType w:val="hybridMultilevel"/>
    <w:tmpl w:val="6F20B5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4A915E1D"/>
    <w:multiLevelType w:val="hybridMultilevel"/>
    <w:tmpl w:val="70365A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53BC0C33"/>
    <w:multiLevelType w:val="hybridMultilevel"/>
    <w:tmpl w:val="D526A8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60BB3A6F"/>
    <w:multiLevelType w:val="hybridMultilevel"/>
    <w:tmpl w:val="0226CB3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nsid w:val="65244FC9"/>
    <w:multiLevelType w:val="hybridMultilevel"/>
    <w:tmpl w:val="50505F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66C8434B"/>
    <w:multiLevelType w:val="hybridMultilevel"/>
    <w:tmpl w:val="F3D246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6B060AEA"/>
    <w:multiLevelType w:val="hybridMultilevel"/>
    <w:tmpl w:val="40B85F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78DF5761"/>
    <w:multiLevelType w:val="hybridMultilevel"/>
    <w:tmpl w:val="ED30D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F16435B"/>
    <w:multiLevelType w:val="hybridMultilevel"/>
    <w:tmpl w:val="BFEEA0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5"/>
  </w:num>
  <w:num w:numId="2">
    <w:abstractNumId w:val="14"/>
  </w:num>
  <w:num w:numId="3">
    <w:abstractNumId w:val="17"/>
  </w:num>
  <w:num w:numId="4">
    <w:abstractNumId w:val="2"/>
  </w:num>
  <w:num w:numId="5">
    <w:abstractNumId w:val="4"/>
  </w:num>
  <w:num w:numId="6">
    <w:abstractNumId w:val="13"/>
  </w:num>
  <w:num w:numId="7">
    <w:abstractNumId w:val="9"/>
  </w:num>
  <w:num w:numId="8">
    <w:abstractNumId w:val="10"/>
  </w:num>
  <w:num w:numId="9">
    <w:abstractNumId w:val="0"/>
  </w:num>
  <w:num w:numId="10">
    <w:abstractNumId w:val="11"/>
  </w:num>
  <w:num w:numId="11">
    <w:abstractNumId w:val="7"/>
  </w:num>
  <w:num w:numId="12">
    <w:abstractNumId w:val="16"/>
  </w:num>
  <w:num w:numId="13">
    <w:abstractNumId w:val="12"/>
  </w:num>
  <w:num w:numId="14">
    <w:abstractNumId w:val="15"/>
  </w:num>
  <w:num w:numId="15">
    <w:abstractNumId w:val="1"/>
  </w:num>
  <w:num w:numId="16">
    <w:abstractNumId w:val="18"/>
  </w:num>
  <w:num w:numId="17">
    <w:abstractNumId w:val="6"/>
  </w:num>
  <w:num w:numId="18">
    <w:abstractNumId w:val="3"/>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7F8"/>
    <w:rsid w:val="0000585D"/>
    <w:rsid w:val="000069E1"/>
    <w:rsid w:val="000115F0"/>
    <w:rsid w:val="00024CF2"/>
    <w:rsid w:val="00027B75"/>
    <w:rsid w:val="00034FD9"/>
    <w:rsid w:val="0006665E"/>
    <w:rsid w:val="001923C3"/>
    <w:rsid w:val="001D785E"/>
    <w:rsid w:val="00204697"/>
    <w:rsid w:val="00244F7D"/>
    <w:rsid w:val="002559AD"/>
    <w:rsid w:val="002826A9"/>
    <w:rsid w:val="002A5FDD"/>
    <w:rsid w:val="0036029F"/>
    <w:rsid w:val="003E5F5E"/>
    <w:rsid w:val="004041BA"/>
    <w:rsid w:val="00473F33"/>
    <w:rsid w:val="00487DDA"/>
    <w:rsid w:val="004A47A4"/>
    <w:rsid w:val="004C0F26"/>
    <w:rsid w:val="004F0FB0"/>
    <w:rsid w:val="0054359F"/>
    <w:rsid w:val="005C005A"/>
    <w:rsid w:val="005D13A8"/>
    <w:rsid w:val="005F65B9"/>
    <w:rsid w:val="006667D2"/>
    <w:rsid w:val="0067331F"/>
    <w:rsid w:val="006747CF"/>
    <w:rsid w:val="00680B26"/>
    <w:rsid w:val="006E2354"/>
    <w:rsid w:val="006E5BE5"/>
    <w:rsid w:val="006F4F92"/>
    <w:rsid w:val="0075685A"/>
    <w:rsid w:val="007A4959"/>
    <w:rsid w:val="007A6E5B"/>
    <w:rsid w:val="007F735D"/>
    <w:rsid w:val="0087708C"/>
    <w:rsid w:val="0089340B"/>
    <w:rsid w:val="008B4F7C"/>
    <w:rsid w:val="00923392"/>
    <w:rsid w:val="00972005"/>
    <w:rsid w:val="009853D3"/>
    <w:rsid w:val="00990645"/>
    <w:rsid w:val="00997619"/>
    <w:rsid w:val="00A04EDD"/>
    <w:rsid w:val="00A12A44"/>
    <w:rsid w:val="00A52A7E"/>
    <w:rsid w:val="00A54A53"/>
    <w:rsid w:val="00A5685D"/>
    <w:rsid w:val="00A56964"/>
    <w:rsid w:val="00A9325D"/>
    <w:rsid w:val="00AA5D1C"/>
    <w:rsid w:val="00B02624"/>
    <w:rsid w:val="00B2335F"/>
    <w:rsid w:val="00B43528"/>
    <w:rsid w:val="00BC5AD8"/>
    <w:rsid w:val="00C377F8"/>
    <w:rsid w:val="00C63C9B"/>
    <w:rsid w:val="00C72AE1"/>
    <w:rsid w:val="00C94124"/>
    <w:rsid w:val="00CA7021"/>
    <w:rsid w:val="00CB55E9"/>
    <w:rsid w:val="00CE1624"/>
    <w:rsid w:val="00D00D38"/>
    <w:rsid w:val="00D01D0F"/>
    <w:rsid w:val="00D51E48"/>
    <w:rsid w:val="00D636DC"/>
    <w:rsid w:val="00D80425"/>
    <w:rsid w:val="00D85AE4"/>
    <w:rsid w:val="00DA1AA5"/>
    <w:rsid w:val="00DD23FA"/>
    <w:rsid w:val="00E003EF"/>
    <w:rsid w:val="00E3304B"/>
    <w:rsid w:val="00E579A5"/>
    <w:rsid w:val="00E74DCD"/>
    <w:rsid w:val="00E770F4"/>
    <w:rsid w:val="00EB6CA7"/>
    <w:rsid w:val="00F85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uiPriority="22" w:unhideWhenUsed="0" w:qFormat="1"/>
    <w:lsdException w:name="Emphasis"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semiHidden="0"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D85AE4"/>
    <w:pPr>
      <w:ind w:firstLine="360"/>
    </w:pPr>
  </w:style>
  <w:style w:type="paragraph" w:styleId="Heading1">
    <w:name w:val="heading 1"/>
    <w:basedOn w:val="Normal"/>
    <w:next w:val="Normal"/>
    <w:link w:val="Heading1Char"/>
    <w:uiPriority w:val="9"/>
    <w:qFormat/>
    <w:rsid w:val="0075685A"/>
    <w:pPr>
      <w:ind w:firstLine="0"/>
      <w:outlineLvl w:val="0"/>
    </w:pPr>
    <w:rPr>
      <w:b/>
      <w:sz w:val="144"/>
      <w:szCs w:val="96"/>
    </w:rPr>
  </w:style>
  <w:style w:type="paragraph" w:styleId="Heading2">
    <w:name w:val="heading 2"/>
    <w:basedOn w:val="Normal"/>
    <w:next w:val="Normal"/>
    <w:link w:val="Heading2Char"/>
    <w:uiPriority w:val="9"/>
    <w:qFormat/>
    <w:rsid w:val="0075685A"/>
    <w:pPr>
      <w:ind w:firstLine="0"/>
      <w:outlineLvl w:val="1"/>
    </w:pPr>
    <w:rPr>
      <w:sz w:val="52"/>
      <w:szCs w:val="96"/>
    </w:rPr>
  </w:style>
  <w:style w:type="paragraph" w:styleId="Heading3">
    <w:name w:val="heading 3"/>
    <w:basedOn w:val="Normal"/>
    <w:next w:val="Normal"/>
    <w:link w:val="Heading3Char"/>
    <w:uiPriority w:val="9"/>
    <w:qFormat/>
    <w:rsid w:val="00D85AE4"/>
    <w:pPr>
      <w:ind w:firstLine="0"/>
      <w:jc w:val="center"/>
      <w:outlineLvl w:val="2"/>
    </w:pPr>
    <w:rPr>
      <w:rFonts w:cstheme="majorHAnsi"/>
      <w:b/>
      <w:caps/>
      <w:noProof/>
      <w:sz w:val="144"/>
      <w:szCs w:val="96"/>
    </w:rPr>
  </w:style>
  <w:style w:type="paragraph" w:styleId="Heading4">
    <w:name w:val="heading 4"/>
    <w:basedOn w:val="Normal"/>
    <w:next w:val="Normal"/>
    <w:link w:val="Heading4Char"/>
    <w:uiPriority w:val="9"/>
    <w:qFormat/>
    <w:rsid w:val="00D85AE4"/>
    <w:pPr>
      <w:ind w:firstLine="0"/>
      <w:jc w:val="center"/>
      <w:outlineLvl w:val="3"/>
    </w:pPr>
    <w:rPr>
      <w:rFonts w:cstheme="minorHAnsi"/>
      <w:i/>
      <w:noProof/>
      <w:color w:val="FFFFFF" w:themeColor="background1"/>
      <w:sz w:val="56"/>
      <w:szCs w:val="44"/>
    </w:rPr>
  </w:style>
  <w:style w:type="paragraph" w:styleId="Heading5">
    <w:name w:val="heading 5"/>
    <w:basedOn w:val="Normal"/>
    <w:next w:val="Normal"/>
    <w:link w:val="Heading5Char"/>
    <w:uiPriority w:val="9"/>
    <w:qFormat/>
    <w:rsid w:val="0075685A"/>
    <w:pPr>
      <w:autoSpaceDE w:val="0"/>
      <w:autoSpaceDN w:val="0"/>
      <w:adjustRightInd w:val="0"/>
      <w:ind w:firstLine="0"/>
      <w:outlineLvl w:val="4"/>
    </w:pPr>
    <w:rPr>
      <w:rFonts w:cs="Times New Roman"/>
      <w:b/>
      <w:bCs/>
      <w:i/>
      <w:color w:val="FFFFFF" w:themeColor="background1"/>
      <w:sz w:val="160"/>
      <w:szCs w:val="96"/>
      <w14:textOutline w14:w="9525" w14:cap="rnd" w14:cmpd="sng" w14:algn="ctr">
        <w14:noFill/>
        <w14:prstDash w14:val="solid"/>
        <w14:bevel/>
      </w14:textOutline>
    </w:rPr>
  </w:style>
  <w:style w:type="paragraph" w:styleId="Heading6">
    <w:name w:val="heading 6"/>
    <w:basedOn w:val="Normal"/>
    <w:next w:val="Normal"/>
    <w:link w:val="Heading6Char"/>
    <w:uiPriority w:val="9"/>
    <w:qFormat/>
    <w:rsid w:val="0075685A"/>
    <w:pPr>
      <w:autoSpaceDE w:val="0"/>
      <w:autoSpaceDN w:val="0"/>
      <w:adjustRightInd w:val="0"/>
      <w:ind w:firstLine="0"/>
      <w:outlineLvl w:val="5"/>
    </w:pPr>
    <w:rPr>
      <w:rFonts w:asciiTheme="majorHAnsi" w:hAnsiTheme="majorHAnsi" w:cs="Arial"/>
      <w:color w:val="FFFFFF" w:themeColor="background1"/>
      <w:sz w:val="44"/>
      <w:szCs w:val="36"/>
      <w14:textOutline w14:w="9525" w14:cap="rnd" w14:cmpd="sng" w14:algn="ctr">
        <w14:noFill/>
        <w14:prstDash w14:val="solid"/>
        <w14:bevel/>
      </w14:textOutline>
    </w:rPr>
  </w:style>
  <w:style w:type="paragraph" w:styleId="Heading7">
    <w:name w:val="heading 7"/>
    <w:basedOn w:val="Normal"/>
    <w:next w:val="Normal"/>
    <w:link w:val="Heading7Char"/>
    <w:uiPriority w:val="9"/>
    <w:qFormat/>
    <w:rsid w:val="00D85AE4"/>
    <w:pPr>
      <w:ind w:left="432" w:firstLine="0"/>
      <w:jc w:val="center"/>
      <w:outlineLvl w:val="6"/>
    </w:pPr>
    <w:rPr>
      <w:rFonts w:cs="Times New Roman"/>
      <w:b/>
      <w:bCs/>
      <w:color w:val="000000" w:themeColor="text1"/>
      <w:sz w:val="96"/>
      <w:szCs w:val="96"/>
      <w14:textOutline w14:w="9525" w14:cap="rnd" w14:cmpd="sng" w14:algn="ctr">
        <w14:noFill/>
        <w14:prstDash w14:val="solid"/>
        <w14:bevel/>
      </w14:textOutline>
    </w:rPr>
  </w:style>
  <w:style w:type="paragraph" w:styleId="Heading8">
    <w:name w:val="heading 8"/>
    <w:basedOn w:val="Normal"/>
    <w:next w:val="Normal"/>
    <w:link w:val="Heading8Char"/>
    <w:uiPriority w:val="9"/>
    <w:qFormat/>
    <w:rsid w:val="004041BA"/>
    <w:pPr>
      <w:ind w:firstLine="0"/>
      <w:jc w:val="center"/>
      <w:outlineLvl w:val="7"/>
    </w:pPr>
    <w:rPr>
      <w:rFonts w:asciiTheme="majorHAnsi" w:hAnsiTheme="majorHAnsi" w:cs="Arial"/>
      <w:i/>
      <w:color w:val="7B230B" w:themeColor="accent1" w:themeShade="BF"/>
      <w:sz w:val="56"/>
      <w:szCs w:val="36"/>
      <w14:textOutline w14:w="9525" w14:cap="rnd"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3C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75685A"/>
    <w:pPr>
      <w:autoSpaceDE w:val="0"/>
      <w:autoSpaceDN w:val="0"/>
      <w:adjustRightInd w:val="0"/>
      <w:spacing w:line="288" w:lineRule="auto"/>
      <w:ind w:firstLine="0"/>
      <w:textAlignment w:val="center"/>
    </w:pPr>
    <w:rPr>
      <w:rFonts w:ascii="MinionPro-Regular" w:eastAsiaTheme="minorEastAsia" w:hAnsi="MinionPro-Regular" w:cs="MinionPro-Regular"/>
      <w:color w:val="000000"/>
      <w:lang w:val="es-ES_tradnl" w:eastAsia="ja-JP"/>
    </w:rPr>
  </w:style>
  <w:style w:type="paragraph" w:styleId="Header">
    <w:name w:val="header"/>
    <w:basedOn w:val="Normal"/>
    <w:link w:val="HeaderChar"/>
    <w:uiPriority w:val="99"/>
    <w:unhideWhenUsed/>
    <w:rsid w:val="0075685A"/>
    <w:pPr>
      <w:tabs>
        <w:tab w:val="center" w:pos="4680"/>
        <w:tab w:val="right" w:pos="9360"/>
      </w:tabs>
      <w:ind w:firstLine="0"/>
    </w:pPr>
  </w:style>
  <w:style w:type="character" w:customStyle="1" w:styleId="HeaderChar">
    <w:name w:val="Header Char"/>
    <w:basedOn w:val="DefaultParagraphFont"/>
    <w:link w:val="Header"/>
    <w:uiPriority w:val="99"/>
    <w:rsid w:val="0075685A"/>
  </w:style>
  <w:style w:type="paragraph" w:styleId="Footer">
    <w:name w:val="footer"/>
    <w:basedOn w:val="Normal"/>
    <w:link w:val="FooterChar"/>
    <w:uiPriority w:val="99"/>
    <w:unhideWhenUsed/>
    <w:rsid w:val="0075685A"/>
    <w:pPr>
      <w:tabs>
        <w:tab w:val="center" w:pos="4680"/>
        <w:tab w:val="right" w:pos="9360"/>
      </w:tabs>
      <w:ind w:right="634" w:firstLine="0"/>
      <w:jc w:val="right"/>
    </w:pPr>
  </w:style>
  <w:style w:type="character" w:customStyle="1" w:styleId="FooterChar">
    <w:name w:val="Footer Char"/>
    <w:basedOn w:val="DefaultParagraphFont"/>
    <w:link w:val="Footer"/>
    <w:uiPriority w:val="99"/>
    <w:rsid w:val="0075685A"/>
  </w:style>
  <w:style w:type="character" w:styleId="PageNumber">
    <w:name w:val="page number"/>
    <w:basedOn w:val="DefaultParagraphFont"/>
    <w:uiPriority w:val="99"/>
    <w:semiHidden/>
    <w:unhideWhenUsed/>
    <w:rsid w:val="0087708C"/>
  </w:style>
  <w:style w:type="character" w:styleId="PlaceholderText">
    <w:name w:val="Placeholder Text"/>
    <w:basedOn w:val="DefaultParagraphFont"/>
    <w:uiPriority w:val="99"/>
    <w:semiHidden/>
    <w:rsid w:val="006F4F92"/>
    <w:rPr>
      <w:color w:val="808080"/>
    </w:rPr>
  </w:style>
  <w:style w:type="paragraph" w:styleId="Title">
    <w:name w:val="Title"/>
    <w:basedOn w:val="Normal"/>
    <w:next w:val="Normal"/>
    <w:link w:val="TitleChar"/>
    <w:uiPriority w:val="10"/>
    <w:qFormat/>
    <w:rsid w:val="0075685A"/>
    <w:pPr>
      <w:ind w:firstLine="0"/>
      <w:jc w:val="center"/>
    </w:pPr>
    <w:rPr>
      <w:caps/>
      <w:color w:val="FFFFFF" w:themeColor="background1"/>
      <w:sz w:val="110"/>
      <w:szCs w:val="110"/>
    </w:rPr>
  </w:style>
  <w:style w:type="character" w:customStyle="1" w:styleId="TitleChar">
    <w:name w:val="Title Char"/>
    <w:basedOn w:val="DefaultParagraphFont"/>
    <w:link w:val="Title"/>
    <w:uiPriority w:val="10"/>
    <w:rsid w:val="0075685A"/>
    <w:rPr>
      <w:caps/>
      <w:color w:val="FFFFFF" w:themeColor="background1"/>
      <w:sz w:val="110"/>
      <w:szCs w:val="110"/>
    </w:rPr>
  </w:style>
  <w:style w:type="character" w:customStyle="1" w:styleId="Heading1Char">
    <w:name w:val="Heading 1 Char"/>
    <w:basedOn w:val="DefaultParagraphFont"/>
    <w:link w:val="Heading1"/>
    <w:uiPriority w:val="9"/>
    <w:rsid w:val="0075685A"/>
    <w:rPr>
      <w:b/>
      <w:sz w:val="144"/>
      <w:szCs w:val="96"/>
    </w:rPr>
  </w:style>
  <w:style w:type="character" w:customStyle="1" w:styleId="Heading2Char">
    <w:name w:val="Heading 2 Char"/>
    <w:basedOn w:val="DefaultParagraphFont"/>
    <w:link w:val="Heading2"/>
    <w:uiPriority w:val="9"/>
    <w:rsid w:val="0075685A"/>
    <w:rPr>
      <w:sz w:val="52"/>
      <w:szCs w:val="96"/>
    </w:rPr>
  </w:style>
  <w:style w:type="paragraph" w:customStyle="1" w:styleId="HeaderRight">
    <w:name w:val="Header Right"/>
    <w:basedOn w:val="BasicParagraph"/>
    <w:qFormat/>
    <w:rsid w:val="00AA5D1C"/>
    <w:pPr>
      <w:contextualSpacing/>
      <w:jc w:val="center"/>
    </w:pPr>
    <w:rPr>
      <w:rFonts w:asciiTheme="majorHAnsi" w:hAnsiTheme="majorHAnsi" w:cstheme="minorHAnsi"/>
      <w:color w:val="000000" w:themeColor="text1"/>
      <w:sz w:val="21"/>
      <w:szCs w:val="21"/>
    </w:rPr>
  </w:style>
  <w:style w:type="paragraph" w:customStyle="1" w:styleId="HeaderLeft">
    <w:name w:val="Header Left"/>
    <w:basedOn w:val="Normal"/>
    <w:qFormat/>
    <w:rsid w:val="0075685A"/>
    <w:pPr>
      <w:ind w:firstLine="0"/>
      <w:jc w:val="center"/>
    </w:pPr>
  </w:style>
  <w:style w:type="paragraph" w:customStyle="1" w:styleId="Tagline">
    <w:name w:val="Tagline"/>
    <w:basedOn w:val="Normal"/>
    <w:qFormat/>
    <w:rsid w:val="0075685A"/>
    <w:pPr>
      <w:ind w:firstLine="0"/>
      <w:jc w:val="center"/>
    </w:pPr>
    <w:rPr>
      <w:rFonts w:asciiTheme="majorHAnsi" w:hAnsiTheme="majorHAnsi" w:cs="Arial"/>
      <w:bCs/>
      <w:color w:val="272726"/>
      <w:spacing w:val="28"/>
      <w:sz w:val="32"/>
      <w:szCs w:val="46"/>
    </w:rPr>
  </w:style>
  <w:style w:type="character" w:customStyle="1" w:styleId="Heading3Char">
    <w:name w:val="Heading 3 Char"/>
    <w:basedOn w:val="DefaultParagraphFont"/>
    <w:link w:val="Heading3"/>
    <w:uiPriority w:val="9"/>
    <w:rsid w:val="00D85AE4"/>
    <w:rPr>
      <w:rFonts w:cstheme="majorHAnsi"/>
      <w:b/>
      <w:caps/>
      <w:noProof/>
      <w:sz w:val="144"/>
      <w:szCs w:val="96"/>
    </w:rPr>
  </w:style>
  <w:style w:type="character" w:customStyle="1" w:styleId="Heading4Char">
    <w:name w:val="Heading 4 Char"/>
    <w:basedOn w:val="DefaultParagraphFont"/>
    <w:link w:val="Heading4"/>
    <w:uiPriority w:val="9"/>
    <w:rsid w:val="00D85AE4"/>
    <w:rPr>
      <w:rFonts w:cstheme="minorHAnsi"/>
      <w:i/>
      <w:noProof/>
      <w:color w:val="FFFFFF" w:themeColor="background1"/>
      <w:sz w:val="56"/>
      <w:szCs w:val="44"/>
    </w:rPr>
  </w:style>
  <w:style w:type="paragraph" w:styleId="Quote">
    <w:name w:val="Quote"/>
    <w:basedOn w:val="Normal"/>
    <w:next w:val="Normal"/>
    <w:link w:val="QuoteChar"/>
    <w:uiPriority w:val="29"/>
    <w:qFormat/>
    <w:rsid w:val="0075685A"/>
    <w:pPr>
      <w:ind w:firstLine="0"/>
      <w:jc w:val="center"/>
    </w:pPr>
    <w:rPr>
      <w:rFonts w:cstheme="majorHAnsi"/>
      <w:b/>
      <w:i/>
      <w:noProof/>
      <w:color w:val="000F64"/>
      <w:sz w:val="36"/>
      <w14:textOutline w14:w="9525" w14:cap="rnd" w14:cmpd="sng" w14:algn="ctr">
        <w14:noFill/>
        <w14:prstDash w14:val="solid"/>
        <w14:bevel/>
      </w14:textOutline>
    </w:rPr>
  </w:style>
  <w:style w:type="character" w:customStyle="1" w:styleId="QuoteChar">
    <w:name w:val="Quote Char"/>
    <w:basedOn w:val="DefaultParagraphFont"/>
    <w:link w:val="Quote"/>
    <w:uiPriority w:val="29"/>
    <w:rsid w:val="0075685A"/>
    <w:rPr>
      <w:rFonts w:cstheme="majorHAnsi"/>
      <w:b/>
      <w:i/>
      <w:noProof/>
      <w:color w:val="000F64"/>
      <w:sz w:val="36"/>
      <w14:textOutline w14:w="9525" w14:cap="rnd" w14:cmpd="sng" w14:algn="ctr">
        <w14:noFill/>
        <w14:prstDash w14:val="solid"/>
        <w14:bevel/>
      </w14:textOutline>
    </w:rPr>
  </w:style>
  <w:style w:type="character" w:customStyle="1" w:styleId="Heading5Char">
    <w:name w:val="Heading 5 Char"/>
    <w:basedOn w:val="DefaultParagraphFont"/>
    <w:link w:val="Heading5"/>
    <w:uiPriority w:val="9"/>
    <w:rsid w:val="0075685A"/>
    <w:rPr>
      <w:rFonts w:cs="Times New Roman"/>
      <w:b/>
      <w:bCs/>
      <w:i/>
      <w:color w:val="FFFFFF" w:themeColor="background1"/>
      <w:sz w:val="160"/>
      <w:szCs w:val="96"/>
      <w14:textOutline w14:w="9525" w14:cap="rnd" w14:cmpd="sng" w14:algn="ctr">
        <w14:noFill/>
        <w14:prstDash w14:val="solid"/>
        <w14:bevel/>
      </w14:textOutline>
    </w:rPr>
  </w:style>
  <w:style w:type="character" w:customStyle="1" w:styleId="Heading6Char">
    <w:name w:val="Heading 6 Char"/>
    <w:basedOn w:val="DefaultParagraphFont"/>
    <w:link w:val="Heading6"/>
    <w:uiPriority w:val="9"/>
    <w:rsid w:val="0075685A"/>
    <w:rPr>
      <w:rFonts w:asciiTheme="majorHAnsi" w:hAnsiTheme="majorHAnsi" w:cs="Arial"/>
      <w:color w:val="FFFFFF" w:themeColor="background1"/>
      <w:sz w:val="44"/>
      <w:szCs w:val="36"/>
      <w14:textOutline w14:w="9525" w14:cap="rnd" w14:cmpd="sng" w14:algn="ctr">
        <w14:noFill/>
        <w14:prstDash w14:val="solid"/>
        <w14:bevel/>
      </w14:textOutline>
    </w:rPr>
  </w:style>
  <w:style w:type="character" w:customStyle="1" w:styleId="Heading7Char">
    <w:name w:val="Heading 7 Char"/>
    <w:basedOn w:val="DefaultParagraphFont"/>
    <w:link w:val="Heading7"/>
    <w:uiPriority w:val="9"/>
    <w:rsid w:val="00D85AE4"/>
    <w:rPr>
      <w:rFonts w:cs="Times New Roman"/>
      <w:b/>
      <w:bCs/>
      <w:color w:val="000000" w:themeColor="text1"/>
      <w:sz w:val="96"/>
      <w:szCs w:val="96"/>
      <w14:textOutline w14:w="9525" w14:cap="rnd" w14:cmpd="sng" w14:algn="ctr">
        <w14:noFill/>
        <w14:prstDash w14:val="solid"/>
        <w14:bevel/>
      </w14:textOutline>
    </w:rPr>
  </w:style>
  <w:style w:type="character" w:customStyle="1" w:styleId="Heading8Char">
    <w:name w:val="Heading 8 Char"/>
    <w:basedOn w:val="DefaultParagraphFont"/>
    <w:link w:val="Heading8"/>
    <w:uiPriority w:val="9"/>
    <w:rsid w:val="004041BA"/>
    <w:rPr>
      <w:rFonts w:asciiTheme="majorHAnsi" w:hAnsiTheme="majorHAnsi" w:cs="Arial"/>
      <w:i/>
      <w:color w:val="7B230B" w:themeColor="accent1" w:themeShade="BF"/>
      <w:sz w:val="56"/>
      <w:szCs w:val="36"/>
      <w14:textOutline w14:w="9525" w14:cap="rnd" w14:cmpd="sng" w14:algn="ctr">
        <w14:noFill/>
        <w14:prstDash w14:val="solid"/>
        <w14:bevel/>
      </w14:textOutline>
    </w:rPr>
  </w:style>
  <w:style w:type="paragraph" w:customStyle="1" w:styleId="NormalAlt">
    <w:name w:val="Normal Alt"/>
    <w:basedOn w:val="Normal"/>
    <w:qFormat/>
    <w:rsid w:val="004041BA"/>
    <w:rPr>
      <w:sz w:val="22"/>
      <w:szCs w:val="22"/>
    </w:rPr>
  </w:style>
  <w:style w:type="paragraph" w:customStyle="1" w:styleId="Images">
    <w:name w:val="Images"/>
    <w:basedOn w:val="Normal"/>
    <w:qFormat/>
    <w:rsid w:val="0075685A"/>
    <w:pPr>
      <w:ind w:firstLine="0"/>
    </w:pPr>
    <w:rPr>
      <w:noProof/>
      <w:sz w:val="22"/>
      <w:szCs w:val="22"/>
    </w:rPr>
  </w:style>
  <w:style w:type="paragraph" w:styleId="Subtitle">
    <w:name w:val="Subtitle"/>
    <w:basedOn w:val="Normal"/>
    <w:next w:val="Normal"/>
    <w:link w:val="SubtitleChar"/>
    <w:uiPriority w:val="11"/>
    <w:qFormat/>
    <w:rsid w:val="0075685A"/>
    <w:pPr>
      <w:numPr>
        <w:ilvl w:val="1"/>
      </w:numPr>
      <w:spacing w:after="160"/>
      <w:ind w:firstLine="3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75685A"/>
    <w:rPr>
      <w:rFonts w:eastAsiaTheme="minorEastAsia"/>
      <w:color w:val="5A5A5A" w:themeColor="text1" w:themeTint="A5"/>
      <w:spacing w:val="15"/>
      <w:sz w:val="22"/>
      <w:szCs w:val="22"/>
    </w:rPr>
  </w:style>
  <w:style w:type="paragraph" w:customStyle="1" w:styleId="Navigation">
    <w:name w:val="Navigation"/>
    <w:basedOn w:val="Normal"/>
    <w:qFormat/>
    <w:rsid w:val="007F735D"/>
    <w:pPr>
      <w:jc w:val="center"/>
    </w:pPr>
    <w:rPr>
      <w:b/>
      <w:sz w:val="18"/>
    </w:rPr>
  </w:style>
  <w:style w:type="paragraph" w:styleId="FootnoteText">
    <w:name w:val="footnote text"/>
    <w:basedOn w:val="Normal"/>
    <w:link w:val="FootnoteTextChar"/>
    <w:uiPriority w:val="99"/>
    <w:semiHidden/>
    <w:unhideWhenUsed/>
    <w:rsid w:val="00C377F8"/>
    <w:pPr>
      <w:ind w:firstLine="0"/>
    </w:pPr>
    <w:rPr>
      <w:sz w:val="20"/>
      <w:szCs w:val="20"/>
      <w:lang w:val="en-AU"/>
    </w:rPr>
  </w:style>
  <w:style w:type="character" w:customStyle="1" w:styleId="FootnoteTextChar">
    <w:name w:val="Footnote Text Char"/>
    <w:basedOn w:val="DefaultParagraphFont"/>
    <w:link w:val="FootnoteText"/>
    <w:uiPriority w:val="99"/>
    <w:semiHidden/>
    <w:rsid w:val="00C377F8"/>
    <w:rPr>
      <w:sz w:val="20"/>
      <w:szCs w:val="20"/>
      <w:lang w:val="en-AU"/>
    </w:rPr>
  </w:style>
  <w:style w:type="character" w:styleId="FootnoteReference">
    <w:name w:val="footnote reference"/>
    <w:basedOn w:val="DefaultParagraphFont"/>
    <w:uiPriority w:val="99"/>
    <w:semiHidden/>
    <w:unhideWhenUsed/>
    <w:rsid w:val="00C377F8"/>
    <w:rPr>
      <w:vertAlign w:val="superscript"/>
    </w:rPr>
  </w:style>
  <w:style w:type="character" w:styleId="Hyperlink">
    <w:name w:val="Hyperlink"/>
    <w:basedOn w:val="DefaultParagraphFont"/>
    <w:uiPriority w:val="99"/>
    <w:unhideWhenUsed/>
    <w:rsid w:val="00C377F8"/>
    <w:rPr>
      <w:color w:val="6B9F25" w:themeColor="hyperlink"/>
      <w:u w:val="single"/>
    </w:rPr>
  </w:style>
  <w:style w:type="paragraph" w:styleId="ListParagraph">
    <w:name w:val="List Paragraph"/>
    <w:basedOn w:val="Normal"/>
    <w:uiPriority w:val="34"/>
    <w:qFormat/>
    <w:rsid w:val="00C377F8"/>
    <w:pPr>
      <w:spacing w:after="200" w:line="276" w:lineRule="auto"/>
      <w:ind w:left="720" w:firstLine="0"/>
      <w:contextualSpacing/>
    </w:pPr>
    <w:rPr>
      <w:sz w:val="22"/>
      <w:szCs w:val="22"/>
      <w:lang w:val="en-AU"/>
    </w:rPr>
  </w:style>
  <w:style w:type="paragraph" w:styleId="BalloonText">
    <w:name w:val="Balloon Text"/>
    <w:basedOn w:val="Normal"/>
    <w:link w:val="BalloonTextChar"/>
    <w:uiPriority w:val="99"/>
    <w:semiHidden/>
    <w:unhideWhenUsed/>
    <w:rsid w:val="00CB55E9"/>
    <w:rPr>
      <w:rFonts w:ascii="Tahoma" w:hAnsi="Tahoma" w:cs="Tahoma"/>
      <w:sz w:val="16"/>
      <w:szCs w:val="16"/>
    </w:rPr>
  </w:style>
  <w:style w:type="character" w:customStyle="1" w:styleId="BalloonTextChar">
    <w:name w:val="Balloon Text Char"/>
    <w:basedOn w:val="DefaultParagraphFont"/>
    <w:link w:val="BalloonText"/>
    <w:uiPriority w:val="99"/>
    <w:semiHidden/>
    <w:rsid w:val="00CB55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uiPriority="22" w:unhideWhenUsed="0" w:qFormat="1"/>
    <w:lsdException w:name="Emphasis"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semiHidden="0"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D85AE4"/>
    <w:pPr>
      <w:ind w:firstLine="360"/>
    </w:pPr>
  </w:style>
  <w:style w:type="paragraph" w:styleId="Heading1">
    <w:name w:val="heading 1"/>
    <w:basedOn w:val="Normal"/>
    <w:next w:val="Normal"/>
    <w:link w:val="Heading1Char"/>
    <w:uiPriority w:val="9"/>
    <w:qFormat/>
    <w:rsid w:val="0075685A"/>
    <w:pPr>
      <w:ind w:firstLine="0"/>
      <w:outlineLvl w:val="0"/>
    </w:pPr>
    <w:rPr>
      <w:b/>
      <w:sz w:val="144"/>
      <w:szCs w:val="96"/>
    </w:rPr>
  </w:style>
  <w:style w:type="paragraph" w:styleId="Heading2">
    <w:name w:val="heading 2"/>
    <w:basedOn w:val="Normal"/>
    <w:next w:val="Normal"/>
    <w:link w:val="Heading2Char"/>
    <w:uiPriority w:val="9"/>
    <w:qFormat/>
    <w:rsid w:val="0075685A"/>
    <w:pPr>
      <w:ind w:firstLine="0"/>
      <w:outlineLvl w:val="1"/>
    </w:pPr>
    <w:rPr>
      <w:sz w:val="52"/>
      <w:szCs w:val="96"/>
    </w:rPr>
  </w:style>
  <w:style w:type="paragraph" w:styleId="Heading3">
    <w:name w:val="heading 3"/>
    <w:basedOn w:val="Normal"/>
    <w:next w:val="Normal"/>
    <w:link w:val="Heading3Char"/>
    <w:uiPriority w:val="9"/>
    <w:qFormat/>
    <w:rsid w:val="00D85AE4"/>
    <w:pPr>
      <w:ind w:firstLine="0"/>
      <w:jc w:val="center"/>
      <w:outlineLvl w:val="2"/>
    </w:pPr>
    <w:rPr>
      <w:rFonts w:cstheme="majorHAnsi"/>
      <w:b/>
      <w:caps/>
      <w:noProof/>
      <w:sz w:val="144"/>
      <w:szCs w:val="96"/>
    </w:rPr>
  </w:style>
  <w:style w:type="paragraph" w:styleId="Heading4">
    <w:name w:val="heading 4"/>
    <w:basedOn w:val="Normal"/>
    <w:next w:val="Normal"/>
    <w:link w:val="Heading4Char"/>
    <w:uiPriority w:val="9"/>
    <w:qFormat/>
    <w:rsid w:val="00D85AE4"/>
    <w:pPr>
      <w:ind w:firstLine="0"/>
      <w:jc w:val="center"/>
      <w:outlineLvl w:val="3"/>
    </w:pPr>
    <w:rPr>
      <w:rFonts w:cstheme="minorHAnsi"/>
      <w:i/>
      <w:noProof/>
      <w:color w:val="FFFFFF" w:themeColor="background1"/>
      <w:sz w:val="56"/>
      <w:szCs w:val="44"/>
    </w:rPr>
  </w:style>
  <w:style w:type="paragraph" w:styleId="Heading5">
    <w:name w:val="heading 5"/>
    <w:basedOn w:val="Normal"/>
    <w:next w:val="Normal"/>
    <w:link w:val="Heading5Char"/>
    <w:uiPriority w:val="9"/>
    <w:qFormat/>
    <w:rsid w:val="0075685A"/>
    <w:pPr>
      <w:autoSpaceDE w:val="0"/>
      <w:autoSpaceDN w:val="0"/>
      <w:adjustRightInd w:val="0"/>
      <w:ind w:firstLine="0"/>
      <w:outlineLvl w:val="4"/>
    </w:pPr>
    <w:rPr>
      <w:rFonts w:cs="Times New Roman"/>
      <w:b/>
      <w:bCs/>
      <w:i/>
      <w:color w:val="FFFFFF" w:themeColor="background1"/>
      <w:sz w:val="160"/>
      <w:szCs w:val="96"/>
      <w14:textOutline w14:w="9525" w14:cap="rnd" w14:cmpd="sng" w14:algn="ctr">
        <w14:noFill/>
        <w14:prstDash w14:val="solid"/>
        <w14:bevel/>
      </w14:textOutline>
    </w:rPr>
  </w:style>
  <w:style w:type="paragraph" w:styleId="Heading6">
    <w:name w:val="heading 6"/>
    <w:basedOn w:val="Normal"/>
    <w:next w:val="Normal"/>
    <w:link w:val="Heading6Char"/>
    <w:uiPriority w:val="9"/>
    <w:qFormat/>
    <w:rsid w:val="0075685A"/>
    <w:pPr>
      <w:autoSpaceDE w:val="0"/>
      <w:autoSpaceDN w:val="0"/>
      <w:adjustRightInd w:val="0"/>
      <w:ind w:firstLine="0"/>
      <w:outlineLvl w:val="5"/>
    </w:pPr>
    <w:rPr>
      <w:rFonts w:asciiTheme="majorHAnsi" w:hAnsiTheme="majorHAnsi" w:cs="Arial"/>
      <w:color w:val="FFFFFF" w:themeColor="background1"/>
      <w:sz w:val="44"/>
      <w:szCs w:val="36"/>
      <w14:textOutline w14:w="9525" w14:cap="rnd" w14:cmpd="sng" w14:algn="ctr">
        <w14:noFill/>
        <w14:prstDash w14:val="solid"/>
        <w14:bevel/>
      </w14:textOutline>
    </w:rPr>
  </w:style>
  <w:style w:type="paragraph" w:styleId="Heading7">
    <w:name w:val="heading 7"/>
    <w:basedOn w:val="Normal"/>
    <w:next w:val="Normal"/>
    <w:link w:val="Heading7Char"/>
    <w:uiPriority w:val="9"/>
    <w:qFormat/>
    <w:rsid w:val="00D85AE4"/>
    <w:pPr>
      <w:ind w:left="432" w:firstLine="0"/>
      <w:jc w:val="center"/>
      <w:outlineLvl w:val="6"/>
    </w:pPr>
    <w:rPr>
      <w:rFonts w:cs="Times New Roman"/>
      <w:b/>
      <w:bCs/>
      <w:color w:val="000000" w:themeColor="text1"/>
      <w:sz w:val="96"/>
      <w:szCs w:val="96"/>
      <w14:textOutline w14:w="9525" w14:cap="rnd" w14:cmpd="sng" w14:algn="ctr">
        <w14:noFill/>
        <w14:prstDash w14:val="solid"/>
        <w14:bevel/>
      </w14:textOutline>
    </w:rPr>
  </w:style>
  <w:style w:type="paragraph" w:styleId="Heading8">
    <w:name w:val="heading 8"/>
    <w:basedOn w:val="Normal"/>
    <w:next w:val="Normal"/>
    <w:link w:val="Heading8Char"/>
    <w:uiPriority w:val="9"/>
    <w:qFormat/>
    <w:rsid w:val="004041BA"/>
    <w:pPr>
      <w:ind w:firstLine="0"/>
      <w:jc w:val="center"/>
      <w:outlineLvl w:val="7"/>
    </w:pPr>
    <w:rPr>
      <w:rFonts w:asciiTheme="majorHAnsi" w:hAnsiTheme="majorHAnsi" w:cs="Arial"/>
      <w:i/>
      <w:color w:val="7B230B" w:themeColor="accent1" w:themeShade="BF"/>
      <w:sz w:val="56"/>
      <w:szCs w:val="36"/>
      <w14:textOutline w14:w="9525" w14:cap="rnd"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3C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75685A"/>
    <w:pPr>
      <w:autoSpaceDE w:val="0"/>
      <w:autoSpaceDN w:val="0"/>
      <w:adjustRightInd w:val="0"/>
      <w:spacing w:line="288" w:lineRule="auto"/>
      <w:ind w:firstLine="0"/>
      <w:textAlignment w:val="center"/>
    </w:pPr>
    <w:rPr>
      <w:rFonts w:ascii="MinionPro-Regular" w:eastAsiaTheme="minorEastAsia" w:hAnsi="MinionPro-Regular" w:cs="MinionPro-Regular"/>
      <w:color w:val="000000"/>
      <w:lang w:val="es-ES_tradnl" w:eastAsia="ja-JP"/>
    </w:rPr>
  </w:style>
  <w:style w:type="paragraph" w:styleId="Header">
    <w:name w:val="header"/>
    <w:basedOn w:val="Normal"/>
    <w:link w:val="HeaderChar"/>
    <w:uiPriority w:val="99"/>
    <w:unhideWhenUsed/>
    <w:rsid w:val="0075685A"/>
    <w:pPr>
      <w:tabs>
        <w:tab w:val="center" w:pos="4680"/>
        <w:tab w:val="right" w:pos="9360"/>
      </w:tabs>
      <w:ind w:firstLine="0"/>
    </w:pPr>
  </w:style>
  <w:style w:type="character" w:customStyle="1" w:styleId="HeaderChar">
    <w:name w:val="Header Char"/>
    <w:basedOn w:val="DefaultParagraphFont"/>
    <w:link w:val="Header"/>
    <w:uiPriority w:val="99"/>
    <w:rsid w:val="0075685A"/>
  </w:style>
  <w:style w:type="paragraph" w:styleId="Footer">
    <w:name w:val="footer"/>
    <w:basedOn w:val="Normal"/>
    <w:link w:val="FooterChar"/>
    <w:uiPriority w:val="99"/>
    <w:unhideWhenUsed/>
    <w:rsid w:val="0075685A"/>
    <w:pPr>
      <w:tabs>
        <w:tab w:val="center" w:pos="4680"/>
        <w:tab w:val="right" w:pos="9360"/>
      </w:tabs>
      <w:ind w:right="634" w:firstLine="0"/>
      <w:jc w:val="right"/>
    </w:pPr>
  </w:style>
  <w:style w:type="character" w:customStyle="1" w:styleId="FooterChar">
    <w:name w:val="Footer Char"/>
    <w:basedOn w:val="DefaultParagraphFont"/>
    <w:link w:val="Footer"/>
    <w:uiPriority w:val="99"/>
    <w:rsid w:val="0075685A"/>
  </w:style>
  <w:style w:type="character" w:styleId="PageNumber">
    <w:name w:val="page number"/>
    <w:basedOn w:val="DefaultParagraphFont"/>
    <w:uiPriority w:val="99"/>
    <w:semiHidden/>
    <w:unhideWhenUsed/>
    <w:rsid w:val="0087708C"/>
  </w:style>
  <w:style w:type="character" w:styleId="PlaceholderText">
    <w:name w:val="Placeholder Text"/>
    <w:basedOn w:val="DefaultParagraphFont"/>
    <w:uiPriority w:val="99"/>
    <w:semiHidden/>
    <w:rsid w:val="006F4F92"/>
    <w:rPr>
      <w:color w:val="808080"/>
    </w:rPr>
  </w:style>
  <w:style w:type="paragraph" w:styleId="Title">
    <w:name w:val="Title"/>
    <w:basedOn w:val="Normal"/>
    <w:next w:val="Normal"/>
    <w:link w:val="TitleChar"/>
    <w:uiPriority w:val="10"/>
    <w:qFormat/>
    <w:rsid w:val="0075685A"/>
    <w:pPr>
      <w:ind w:firstLine="0"/>
      <w:jc w:val="center"/>
    </w:pPr>
    <w:rPr>
      <w:caps/>
      <w:color w:val="FFFFFF" w:themeColor="background1"/>
      <w:sz w:val="110"/>
      <w:szCs w:val="110"/>
    </w:rPr>
  </w:style>
  <w:style w:type="character" w:customStyle="1" w:styleId="TitleChar">
    <w:name w:val="Title Char"/>
    <w:basedOn w:val="DefaultParagraphFont"/>
    <w:link w:val="Title"/>
    <w:uiPriority w:val="10"/>
    <w:rsid w:val="0075685A"/>
    <w:rPr>
      <w:caps/>
      <w:color w:val="FFFFFF" w:themeColor="background1"/>
      <w:sz w:val="110"/>
      <w:szCs w:val="110"/>
    </w:rPr>
  </w:style>
  <w:style w:type="character" w:customStyle="1" w:styleId="Heading1Char">
    <w:name w:val="Heading 1 Char"/>
    <w:basedOn w:val="DefaultParagraphFont"/>
    <w:link w:val="Heading1"/>
    <w:uiPriority w:val="9"/>
    <w:rsid w:val="0075685A"/>
    <w:rPr>
      <w:b/>
      <w:sz w:val="144"/>
      <w:szCs w:val="96"/>
    </w:rPr>
  </w:style>
  <w:style w:type="character" w:customStyle="1" w:styleId="Heading2Char">
    <w:name w:val="Heading 2 Char"/>
    <w:basedOn w:val="DefaultParagraphFont"/>
    <w:link w:val="Heading2"/>
    <w:uiPriority w:val="9"/>
    <w:rsid w:val="0075685A"/>
    <w:rPr>
      <w:sz w:val="52"/>
      <w:szCs w:val="96"/>
    </w:rPr>
  </w:style>
  <w:style w:type="paragraph" w:customStyle="1" w:styleId="HeaderRight">
    <w:name w:val="Header Right"/>
    <w:basedOn w:val="BasicParagraph"/>
    <w:qFormat/>
    <w:rsid w:val="00AA5D1C"/>
    <w:pPr>
      <w:contextualSpacing/>
      <w:jc w:val="center"/>
    </w:pPr>
    <w:rPr>
      <w:rFonts w:asciiTheme="majorHAnsi" w:hAnsiTheme="majorHAnsi" w:cstheme="minorHAnsi"/>
      <w:color w:val="000000" w:themeColor="text1"/>
      <w:sz w:val="21"/>
      <w:szCs w:val="21"/>
    </w:rPr>
  </w:style>
  <w:style w:type="paragraph" w:customStyle="1" w:styleId="HeaderLeft">
    <w:name w:val="Header Left"/>
    <w:basedOn w:val="Normal"/>
    <w:qFormat/>
    <w:rsid w:val="0075685A"/>
    <w:pPr>
      <w:ind w:firstLine="0"/>
      <w:jc w:val="center"/>
    </w:pPr>
  </w:style>
  <w:style w:type="paragraph" w:customStyle="1" w:styleId="Tagline">
    <w:name w:val="Tagline"/>
    <w:basedOn w:val="Normal"/>
    <w:qFormat/>
    <w:rsid w:val="0075685A"/>
    <w:pPr>
      <w:ind w:firstLine="0"/>
      <w:jc w:val="center"/>
    </w:pPr>
    <w:rPr>
      <w:rFonts w:asciiTheme="majorHAnsi" w:hAnsiTheme="majorHAnsi" w:cs="Arial"/>
      <w:bCs/>
      <w:color w:val="272726"/>
      <w:spacing w:val="28"/>
      <w:sz w:val="32"/>
      <w:szCs w:val="46"/>
    </w:rPr>
  </w:style>
  <w:style w:type="character" w:customStyle="1" w:styleId="Heading3Char">
    <w:name w:val="Heading 3 Char"/>
    <w:basedOn w:val="DefaultParagraphFont"/>
    <w:link w:val="Heading3"/>
    <w:uiPriority w:val="9"/>
    <w:rsid w:val="00D85AE4"/>
    <w:rPr>
      <w:rFonts w:cstheme="majorHAnsi"/>
      <w:b/>
      <w:caps/>
      <w:noProof/>
      <w:sz w:val="144"/>
      <w:szCs w:val="96"/>
    </w:rPr>
  </w:style>
  <w:style w:type="character" w:customStyle="1" w:styleId="Heading4Char">
    <w:name w:val="Heading 4 Char"/>
    <w:basedOn w:val="DefaultParagraphFont"/>
    <w:link w:val="Heading4"/>
    <w:uiPriority w:val="9"/>
    <w:rsid w:val="00D85AE4"/>
    <w:rPr>
      <w:rFonts w:cstheme="minorHAnsi"/>
      <w:i/>
      <w:noProof/>
      <w:color w:val="FFFFFF" w:themeColor="background1"/>
      <w:sz w:val="56"/>
      <w:szCs w:val="44"/>
    </w:rPr>
  </w:style>
  <w:style w:type="paragraph" w:styleId="Quote">
    <w:name w:val="Quote"/>
    <w:basedOn w:val="Normal"/>
    <w:next w:val="Normal"/>
    <w:link w:val="QuoteChar"/>
    <w:uiPriority w:val="29"/>
    <w:qFormat/>
    <w:rsid w:val="0075685A"/>
    <w:pPr>
      <w:ind w:firstLine="0"/>
      <w:jc w:val="center"/>
    </w:pPr>
    <w:rPr>
      <w:rFonts w:cstheme="majorHAnsi"/>
      <w:b/>
      <w:i/>
      <w:noProof/>
      <w:color w:val="000F64"/>
      <w:sz w:val="36"/>
      <w14:textOutline w14:w="9525" w14:cap="rnd" w14:cmpd="sng" w14:algn="ctr">
        <w14:noFill/>
        <w14:prstDash w14:val="solid"/>
        <w14:bevel/>
      </w14:textOutline>
    </w:rPr>
  </w:style>
  <w:style w:type="character" w:customStyle="1" w:styleId="QuoteChar">
    <w:name w:val="Quote Char"/>
    <w:basedOn w:val="DefaultParagraphFont"/>
    <w:link w:val="Quote"/>
    <w:uiPriority w:val="29"/>
    <w:rsid w:val="0075685A"/>
    <w:rPr>
      <w:rFonts w:cstheme="majorHAnsi"/>
      <w:b/>
      <w:i/>
      <w:noProof/>
      <w:color w:val="000F64"/>
      <w:sz w:val="36"/>
      <w14:textOutline w14:w="9525" w14:cap="rnd" w14:cmpd="sng" w14:algn="ctr">
        <w14:noFill/>
        <w14:prstDash w14:val="solid"/>
        <w14:bevel/>
      </w14:textOutline>
    </w:rPr>
  </w:style>
  <w:style w:type="character" w:customStyle="1" w:styleId="Heading5Char">
    <w:name w:val="Heading 5 Char"/>
    <w:basedOn w:val="DefaultParagraphFont"/>
    <w:link w:val="Heading5"/>
    <w:uiPriority w:val="9"/>
    <w:rsid w:val="0075685A"/>
    <w:rPr>
      <w:rFonts w:cs="Times New Roman"/>
      <w:b/>
      <w:bCs/>
      <w:i/>
      <w:color w:val="FFFFFF" w:themeColor="background1"/>
      <w:sz w:val="160"/>
      <w:szCs w:val="96"/>
      <w14:textOutline w14:w="9525" w14:cap="rnd" w14:cmpd="sng" w14:algn="ctr">
        <w14:noFill/>
        <w14:prstDash w14:val="solid"/>
        <w14:bevel/>
      </w14:textOutline>
    </w:rPr>
  </w:style>
  <w:style w:type="character" w:customStyle="1" w:styleId="Heading6Char">
    <w:name w:val="Heading 6 Char"/>
    <w:basedOn w:val="DefaultParagraphFont"/>
    <w:link w:val="Heading6"/>
    <w:uiPriority w:val="9"/>
    <w:rsid w:val="0075685A"/>
    <w:rPr>
      <w:rFonts w:asciiTheme="majorHAnsi" w:hAnsiTheme="majorHAnsi" w:cs="Arial"/>
      <w:color w:val="FFFFFF" w:themeColor="background1"/>
      <w:sz w:val="44"/>
      <w:szCs w:val="36"/>
      <w14:textOutline w14:w="9525" w14:cap="rnd" w14:cmpd="sng" w14:algn="ctr">
        <w14:noFill/>
        <w14:prstDash w14:val="solid"/>
        <w14:bevel/>
      </w14:textOutline>
    </w:rPr>
  </w:style>
  <w:style w:type="character" w:customStyle="1" w:styleId="Heading7Char">
    <w:name w:val="Heading 7 Char"/>
    <w:basedOn w:val="DefaultParagraphFont"/>
    <w:link w:val="Heading7"/>
    <w:uiPriority w:val="9"/>
    <w:rsid w:val="00D85AE4"/>
    <w:rPr>
      <w:rFonts w:cs="Times New Roman"/>
      <w:b/>
      <w:bCs/>
      <w:color w:val="000000" w:themeColor="text1"/>
      <w:sz w:val="96"/>
      <w:szCs w:val="96"/>
      <w14:textOutline w14:w="9525" w14:cap="rnd" w14:cmpd="sng" w14:algn="ctr">
        <w14:noFill/>
        <w14:prstDash w14:val="solid"/>
        <w14:bevel/>
      </w14:textOutline>
    </w:rPr>
  </w:style>
  <w:style w:type="character" w:customStyle="1" w:styleId="Heading8Char">
    <w:name w:val="Heading 8 Char"/>
    <w:basedOn w:val="DefaultParagraphFont"/>
    <w:link w:val="Heading8"/>
    <w:uiPriority w:val="9"/>
    <w:rsid w:val="004041BA"/>
    <w:rPr>
      <w:rFonts w:asciiTheme="majorHAnsi" w:hAnsiTheme="majorHAnsi" w:cs="Arial"/>
      <w:i/>
      <w:color w:val="7B230B" w:themeColor="accent1" w:themeShade="BF"/>
      <w:sz w:val="56"/>
      <w:szCs w:val="36"/>
      <w14:textOutline w14:w="9525" w14:cap="rnd" w14:cmpd="sng" w14:algn="ctr">
        <w14:noFill/>
        <w14:prstDash w14:val="solid"/>
        <w14:bevel/>
      </w14:textOutline>
    </w:rPr>
  </w:style>
  <w:style w:type="paragraph" w:customStyle="1" w:styleId="NormalAlt">
    <w:name w:val="Normal Alt"/>
    <w:basedOn w:val="Normal"/>
    <w:qFormat/>
    <w:rsid w:val="004041BA"/>
    <w:rPr>
      <w:sz w:val="22"/>
      <w:szCs w:val="22"/>
    </w:rPr>
  </w:style>
  <w:style w:type="paragraph" w:customStyle="1" w:styleId="Images">
    <w:name w:val="Images"/>
    <w:basedOn w:val="Normal"/>
    <w:qFormat/>
    <w:rsid w:val="0075685A"/>
    <w:pPr>
      <w:ind w:firstLine="0"/>
    </w:pPr>
    <w:rPr>
      <w:noProof/>
      <w:sz w:val="22"/>
      <w:szCs w:val="22"/>
    </w:rPr>
  </w:style>
  <w:style w:type="paragraph" w:styleId="Subtitle">
    <w:name w:val="Subtitle"/>
    <w:basedOn w:val="Normal"/>
    <w:next w:val="Normal"/>
    <w:link w:val="SubtitleChar"/>
    <w:uiPriority w:val="11"/>
    <w:qFormat/>
    <w:rsid w:val="0075685A"/>
    <w:pPr>
      <w:numPr>
        <w:ilvl w:val="1"/>
      </w:numPr>
      <w:spacing w:after="160"/>
      <w:ind w:firstLine="3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75685A"/>
    <w:rPr>
      <w:rFonts w:eastAsiaTheme="minorEastAsia"/>
      <w:color w:val="5A5A5A" w:themeColor="text1" w:themeTint="A5"/>
      <w:spacing w:val="15"/>
      <w:sz w:val="22"/>
      <w:szCs w:val="22"/>
    </w:rPr>
  </w:style>
  <w:style w:type="paragraph" w:customStyle="1" w:styleId="Navigation">
    <w:name w:val="Navigation"/>
    <w:basedOn w:val="Normal"/>
    <w:qFormat/>
    <w:rsid w:val="007F735D"/>
    <w:pPr>
      <w:jc w:val="center"/>
    </w:pPr>
    <w:rPr>
      <w:b/>
      <w:sz w:val="18"/>
    </w:rPr>
  </w:style>
  <w:style w:type="paragraph" w:styleId="FootnoteText">
    <w:name w:val="footnote text"/>
    <w:basedOn w:val="Normal"/>
    <w:link w:val="FootnoteTextChar"/>
    <w:uiPriority w:val="99"/>
    <w:semiHidden/>
    <w:unhideWhenUsed/>
    <w:rsid w:val="00C377F8"/>
    <w:pPr>
      <w:ind w:firstLine="0"/>
    </w:pPr>
    <w:rPr>
      <w:sz w:val="20"/>
      <w:szCs w:val="20"/>
      <w:lang w:val="en-AU"/>
    </w:rPr>
  </w:style>
  <w:style w:type="character" w:customStyle="1" w:styleId="FootnoteTextChar">
    <w:name w:val="Footnote Text Char"/>
    <w:basedOn w:val="DefaultParagraphFont"/>
    <w:link w:val="FootnoteText"/>
    <w:uiPriority w:val="99"/>
    <w:semiHidden/>
    <w:rsid w:val="00C377F8"/>
    <w:rPr>
      <w:sz w:val="20"/>
      <w:szCs w:val="20"/>
      <w:lang w:val="en-AU"/>
    </w:rPr>
  </w:style>
  <w:style w:type="character" w:styleId="FootnoteReference">
    <w:name w:val="footnote reference"/>
    <w:basedOn w:val="DefaultParagraphFont"/>
    <w:uiPriority w:val="99"/>
    <w:semiHidden/>
    <w:unhideWhenUsed/>
    <w:rsid w:val="00C377F8"/>
    <w:rPr>
      <w:vertAlign w:val="superscript"/>
    </w:rPr>
  </w:style>
  <w:style w:type="character" w:styleId="Hyperlink">
    <w:name w:val="Hyperlink"/>
    <w:basedOn w:val="DefaultParagraphFont"/>
    <w:uiPriority w:val="99"/>
    <w:unhideWhenUsed/>
    <w:rsid w:val="00C377F8"/>
    <w:rPr>
      <w:color w:val="6B9F25" w:themeColor="hyperlink"/>
      <w:u w:val="single"/>
    </w:rPr>
  </w:style>
  <w:style w:type="paragraph" w:styleId="ListParagraph">
    <w:name w:val="List Paragraph"/>
    <w:basedOn w:val="Normal"/>
    <w:uiPriority w:val="34"/>
    <w:qFormat/>
    <w:rsid w:val="00C377F8"/>
    <w:pPr>
      <w:spacing w:after="200" w:line="276" w:lineRule="auto"/>
      <w:ind w:left="720" w:firstLine="0"/>
      <w:contextualSpacing/>
    </w:pPr>
    <w:rPr>
      <w:sz w:val="22"/>
      <w:szCs w:val="22"/>
      <w:lang w:val="en-AU"/>
    </w:rPr>
  </w:style>
  <w:style w:type="paragraph" w:styleId="BalloonText">
    <w:name w:val="Balloon Text"/>
    <w:basedOn w:val="Normal"/>
    <w:link w:val="BalloonTextChar"/>
    <w:uiPriority w:val="99"/>
    <w:semiHidden/>
    <w:unhideWhenUsed/>
    <w:rsid w:val="00CB55E9"/>
    <w:rPr>
      <w:rFonts w:ascii="Tahoma" w:hAnsi="Tahoma" w:cs="Tahoma"/>
      <w:sz w:val="16"/>
      <w:szCs w:val="16"/>
    </w:rPr>
  </w:style>
  <w:style w:type="character" w:customStyle="1" w:styleId="BalloonTextChar">
    <w:name w:val="Balloon Text Char"/>
    <w:basedOn w:val="DefaultParagraphFont"/>
    <w:link w:val="BalloonText"/>
    <w:uiPriority w:val="99"/>
    <w:semiHidden/>
    <w:rsid w:val="00CB55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413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s://books.google.co.uk/books?id=r9ETLG_aKbkC&amp;pg=PA32"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s://trove.nla.gov.au/newspaper/article/131950481"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trove.nla.gov.au/newspaper/article/96872974"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trove.nla.gov.au/newspaper/article/27442064"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adb.anu.edu.au/biography/gawler-george-2085"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footer" Target="footer1.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collections.slsa.sa.gov.au/resource/B+41188" TargetMode="External"/><Relationship Id="rId2" Type="http://schemas.openxmlformats.org/officeDocument/2006/relationships/hyperlink" Target="https://collections.slsa.sa.gov.au/resource/B+21710" TargetMode="External"/><Relationship Id="rId1" Type="http://schemas.openxmlformats.org/officeDocument/2006/relationships/hyperlink" Target="https://trove.nla.gov.au/newspaper/article/13195048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lsapatrickb\AppData\Roaming\Microsoft\Templates\Lifestyle%20newspaper.dotx" TargetMode="External"/></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Custom 44">
      <a:majorFont>
        <a:latin typeface="Rockwell"/>
        <a:ea typeface=""/>
        <a:cs typeface=""/>
      </a:majorFont>
      <a:minorFont>
        <a:latin typeface="Rockwel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6445DD-4E8F-4930-9AF3-6C30E91A4290}">
  <ds:schemaRefs>
    <ds:schemaRef ds:uri="http://schemas.microsoft.com/sharepoint/v3/contenttype/forms"/>
  </ds:schemaRefs>
</ds:datastoreItem>
</file>

<file path=customXml/itemProps2.xml><?xml version="1.0" encoding="utf-8"?>
<ds:datastoreItem xmlns:ds="http://schemas.openxmlformats.org/officeDocument/2006/customXml" ds:itemID="{8BBF48E0-FF68-4F51-B74E-3872440844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7DD87E-498C-4765-9CFA-DB022654DD1E}">
  <ds:schemaRefs>
    <ds:schemaRef ds:uri="http://schemas.microsoft.com/office/2006/metadata/properties"/>
    <ds:schemaRef ds:uri="http://purl.org/dc/elements/1.1/"/>
    <ds:schemaRef ds:uri="http://purl.org/dc/dcmitype/"/>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16c05727-aa75-4e4a-9b5f-8a80a1165891"/>
    <ds:schemaRef ds:uri="71af3243-3dd4-4a8d-8c0d-dd76da1f02a5"/>
    <ds:schemaRef ds:uri="http://purl.org/dc/terms/"/>
  </ds:schemaRefs>
</ds:datastoreItem>
</file>

<file path=customXml/itemProps4.xml><?xml version="1.0" encoding="utf-8"?>
<ds:datastoreItem xmlns:ds="http://schemas.openxmlformats.org/officeDocument/2006/customXml" ds:itemID="{5C2856D3-371E-4A5D-A4BC-6FAED7206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Lifestyle newspaper</Template>
  <TotalTime>0</TotalTime>
  <Pages>2</Pages>
  <Words>947</Words>
  <Characters>5401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2019-09-08T23:47:00Z</dcterms:created>
  <dcterms:modified xsi:type="dcterms:W3CDTF">2019-09-08T23:47:00Z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