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A9325D" w:rsidRPr="00A9325D" w:rsidTr="00290A8E">
        <w:trPr>
          <w:trHeight w:val="1815"/>
        </w:trPr>
        <w:tc>
          <w:tcPr>
            <w:tcW w:w="14459" w:type="dxa"/>
            <w:shd w:val="clear" w:color="auto" w:fill="000F64"/>
            <w:vAlign w:val="center"/>
          </w:tcPr>
          <w:p w:rsidR="001B0EF5" w:rsidRDefault="001B0EF5" w:rsidP="001B0EF5">
            <w:pPr>
              <w:pStyle w:val="Title"/>
            </w:pPr>
            <w:r>
              <w:rPr>
                <w:rFonts w:ascii="Kunstler Script" w:hAnsi="Kunstler Script"/>
                <w:b/>
                <w:caps w:val="0"/>
                <w:sz w:val="96"/>
                <w:szCs w:val="96"/>
              </w:rPr>
              <w:t>The</w:t>
            </w:r>
            <w:r>
              <w:t xml:space="preserve"> Nincompoops </w:t>
            </w:r>
          </w:p>
          <w:p w:rsidR="00C63C9B" w:rsidRPr="00A9325D" w:rsidRDefault="001B0EF5" w:rsidP="001B0EF5">
            <w:pPr>
              <w:pStyle w:val="Title"/>
            </w:pPr>
            <w:proofErr w:type="gramStart"/>
            <w:r>
              <w:rPr>
                <w:rFonts w:ascii="Kunstler Script" w:hAnsi="Kunstler Script"/>
                <w:b/>
                <w:caps w:val="0"/>
                <w:sz w:val="96"/>
                <w:szCs w:val="96"/>
              </w:rPr>
              <w:t>according</w:t>
            </w:r>
            <w:proofErr w:type="gramEnd"/>
            <w:r>
              <w:rPr>
                <w:rFonts w:ascii="Kunstler Script" w:hAnsi="Kunstler Script"/>
                <w:b/>
                <w:caps w:val="0"/>
                <w:sz w:val="96"/>
                <w:szCs w:val="96"/>
              </w:rPr>
              <w:t xml:space="preserve"> to Mary Lee</w:t>
            </w:r>
          </w:p>
        </w:tc>
      </w:tr>
    </w:tbl>
    <w:p w:rsidR="00EB6CA7" w:rsidRDefault="00EB6CA7"/>
    <w:tbl>
      <w:tblPr>
        <w:tblStyle w:val="TableGrid"/>
        <w:tblW w:w="51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34"/>
        <w:gridCol w:w="4688"/>
      </w:tblGrid>
      <w:tr w:rsidR="00C63C9B" w:rsidTr="00683D35">
        <w:trPr>
          <w:trHeight w:val="90"/>
          <w:jc w:val="center"/>
        </w:trPr>
        <w:tc>
          <w:tcPr>
            <w:tcW w:w="14385" w:type="dxa"/>
            <w:gridSpan w:val="2"/>
            <w:vAlign w:val="center"/>
          </w:tcPr>
          <w:p w:rsidR="00C63C9B" w:rsidRPr="00C63C9B" w:rsidRDefault="00403307" w:rsidP="003E5F5E">
            <w:pPr>
              <w:pStyle w:val="Heading1"/>
              <w:jc w:val="center"/>
              <w:rPr>
                <w:sz w:val="96"/>
              </w:rPr>
            </w:pPr>
            <w:r>
              <w:rPr>
                <w:sz w:val="96"/>
              </w:rPr>
              <w:t xml:space="preserve">John </w:t>
            </w:r>
            <w:proofErr w:type="spellStart"/>
            <w:r>
              <w:rPr>
                <w:sz w:val="96"/>
              </w:rPr>
              <w:t>Hindmarsh</w:t>
            </w:r>
            <w:proofErr w:type="spellEnd"/>
          </w:p>
        </w:tc>
      </w:tr>
      <w:tr w:rsidR="00EB6CA7" w:rsidTr="00683D35">
        <w:trPr>
          <w:trHeight w:val="44"/>
          <w:jc w:val="center"/>
        </w:trPr>
        <w:tc>
          <w:tcPr>
            <w:tcW w:w="14385" w:type="dxa"/>
            <w:gridSpan w:val="2"/>
            <w:shd w:val="clear" w:color="auto" w:fill="7B230B" w:themeFill="accent1" w:themeFillShade="BF"/>
            <w:vAlign w:val="center"/>
          </w:tcPr>
          <w:p w:rsidR="00EB6CA7" w:rsidRPr="006F4F92" w:rsidRDefault="00403307" w:rsidP="00C377F8">
            <w:pPr>
              <w:pStyle w:val="Heading2"/>
            </w:pPr>
            <w:r>
              <w:t>1785 - 1860</w:t>
            </w:r>
          </w:p>
        </w:tc>
      </w:tr>
      <w:tr w:rsidR="00C63C9B" w:rsidRPr="008B4F7C" w:rsidTr="00683D35">
        <w:trPr>
          <w:trHeight w:val="324"/>
          <w:jc w:val="center"/>
        </w:trPr>
        <w:tc>
          <w:tcPr>
            <w:tcW w:w="14385" w:type="dxa"/>
            <w:gridSpan w:val="2"/>
            <w:tcBorders>
              <w:bottom w:val="single" w:sz="4" w:space="0" w:color="auto"/>
            </w:tcBorders>
          </w:tcPr>
          <w:p w:rsidR="00051120" w:rsidRDefault="00051120" w:rsidP="00051120">
            <w:pPr>
              <w:pStyle w:val="ListParagraph"/>
              <w:ind w:left="0"/>
              <w:rPr>
                <w:rFonts w:ascii="Times New Roman" w:hAnsi="Times New Roman" w:cs="Times New Roman"/>
              </w:rPr>
            </w:pPr>
            <w:r w:rsidRPr="00A406D8">
              <w:rPr>
                <w:rFonts w:ascii="Times New Roman" w:hAnsi="Times New Roman" w:cs="Times New Roman"/>
              </w:rPr>
              <w:t>John Hindmarsh</w:t>
            </w:r>
            <w:r>
              <w:rPr>
                <w:rStyle w:val="FootnoteReference"/>
                <w:rFonts w:ascii="Times New Roman" w:hAnsi="Times New Roman" w:cs="Times New Roman"/>
              </w:rPr>
              <w:footnoteReference w:id="1"/>
            </w:r>
            <w:r w:rsidRPr="00A406D8">
              <w:rPr>
                <w:rFonts w:ascii="Times New Roman" w:hAnsi="Times New Roman" w:cs="Times New Roman"/>
              </w:rPr>
              <w:t xml:space="preserve"> </w:t>
            </w:r>
          </w:p>
          <w:p w:rsidR="00195644" w:rsidRPr="003D17C1" w:rsidRDefault="00403307" w:rsidP="00195644">
            <w:pPr>
              <w:ind w:firstLine="0"/>
              <w:rPr>
                <w:rFonts w:ascii="Times New Roman" w:hAnsi="Times New Roman" w:cs="Times New Roman"/>
                <w:b/>
              </w:rPr>
            </w:pPr>
            <w:r w:rsidRPr="00195644">
              <w:rPr>
                <w:rFonts w:ascii="Times New Roman" w:hAnsi="Times New Roman" w:cs="Times New Roman"/>
                <w:noProof/>
                <w:sz w:val="28"/>
                <w:szCs w:val="28"/>
                <w:lang w:val="en-AU" w:eastAsia="en-AU"/>
              </w:rPr>
              <w:drawing>
                <wp:anchor distT="0" distB="0" distL="114300" distR="114300" simplePos="0" relativeHeight="251658240" behindDoc="0" locked="0" layoutInCell="1" allowOverlap="1">
                  <wp:simplePos x="0" y="0"/>
                  <wp:positionH relativeFrom="column">
                    <wp:posOffset>231140</wp:posOffset>
                  </wp:positionH>
                  <wp:positionV relativeFrom="paragraph">
                    <wp:posOffset>-635</wp:posOffset>
                  </wp:positionV>
                  <wp:extent cx="2400300" cy="3449533"/>
                  <wp:effectExtent l="0" t="0" r="0" b="0"/>
                  <wp:wrapSquare wrapText="bothSides"/>
                  <wp:docPr id="3" name="Picture 3" descr="\\SLSAPROD01\home$\slsapatrickb\Desktop\B1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PROD01\home$\slsapatrickb\Desktop\B111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3449533"/>
                          </a:xfrm>
                          <a:prstGeom prst="rect">
                            <a:avLst/>
                          </a:prstGeom>
                          <a:noFill/>
                          <a:ln>
                            <a:noFill/>
                          </a:ln>
                        </pic:spPr>
                      </pic:pic>
                    </a:graphicData>
                  </a:graphic>
                  <wp14:sizeRelH relativeFrom="page">
                    <wp14:pctWidth>0</wp14:pctWidth>
                  </wp14:sizeRelH>
                  <wp14:sizeRelV relativeFrom="page">
                    <wp14:pctHeight>0</wp14:pctHeight>
                  </wp14:sizeRelV>
                </wp:anchor>
              </w:drawing>
            </w:r>
            <w:r w:rsidR="00195644" w:rsidRPr="00195644">
              <w:rPr>
                <w:rFonts w:ascii="Times New Roman" w:hAnsi="Times New Roman" w:cs="Times New Roman"/>
                <w:b/>
                <w:sz w:val="28"/>
                <w:szCs w:val="28"/>
              </w:rPr>
              <w:t>Famous because</w:t>
            </w:r>
            <w:r w:rsidR="00195644" w:rsidRPr="003D17C1">
              <w:rPr>
                <w:rFonts w:ascii="Times New Roman" w:hAnsi="Times New Roman" w:cs="Times New Roman"/>
                <w:b/>
              </w:rPr>
              <w:t>:</w:t>
            </w:r>
          </w:p>
          <w:p w:rsidR="00195644" w:rsidRPr="0024530A" w:rsidRDefault="00195644" w:rsidP="00195644">
            <w:pPr>
              <w:ind w:firstLine="0"/>
              <w:rPr>
                <w:rFonts w:ascii="Times New Roman" w:hAnsi="Times New Roman" w:cs="Times New Roman"/>
              </w:rPr>
            </w:pPr>
            <w:proofErr w:type="spellStart"/>
            <w:r>
              <w:rPr>
                <w:rFonts w:ascii="Times New Roman" w:hAnsi="Times New Roman" w:cs="Times New Roman"/>
              </w:rPr>
              <w:t>Hindmarsh</w:t>
            </w:r>
            <w:proofErr w:type="spellEnd"/>
            <w:r>
              <w:rPr>
                <w:rFonts w:ascii="Times New Roman" w:hAnsi="Times New Roman" w:cs="Times New Roman"/>
              </w:rPr>
              <w:t xml:space="preserve"> was the f</w:t>
            </w:r>
            <w:r w:rsidRPr="0024530A">
              <w:rPr>
                <w:rFonts w:ascii="Times New Roman" w:hAnsi="Times New Roman" w:cs="Times New Roman"/>
              </w:rPr>
              <w:t xml:space="preserve">irst </w:t>
            </w:r>
            <w:r w:rsidR="006E5BE4">
              <w:rPr>
                <w:rFonts w:ascii="Times New Roman" w:hAnsi="Times New Roman" w:cs="Times New Roman"/>
              </w:rPr>
              <w:t>G</w:t>
            </w:r>
            <w:r w:rsidRPr="0024530A">
              <w:rPr>
                <w:rFonts w:ascii="Times New Roman" w:hAnsi="Times New Roman" w:cs="Times New Roman"/>
              </w:rPr>
              <w:t xml:space="preserve">overnor of South Australia (28 Dec 1836-16 July 1838) </w:t>
            </w:r>
          </w:p>
          <w:p w:rsidR="00195644" w:rsidRPr="003D17C1" w:rsidRDefault="00195644" w:rsidP="00195644">
            <w:pPr>
              <w:ind w:firstLine="0"/>
              <w:rPr>
                <w:rFonts w:ascii="Times New Roman" w:hAnsi="Times New Roman" w:cs="Times New Roman"/>
                <w:b/>
              </w:rPr>
            </w:pPr>
            <w:r w:rsidRPr="00195644">
              <w:rPr>
                <w:rFonts w:ascii="Times New Roman" w:hAnsi="Times New Roman" w:cs="Times New Roman"/>
                <w:b/>
                <w:sz w:val="28"/>
                <w:szCs w:val="28"/>
              </w:rPr>
              <w:t>Behind the scenes</w:t>
            </w:r>
            <w:r w:rsidRPr="003D17C1">
              <w:rPr>
                <w:rFonts w:ascii="Times New Roman" w:hAnsi="Times New Roman" w:cs="Times New Roman"/>
                <w:b/>
              </w:rPr>
              <w:t xml:space="preserve">: </w:t>
            </w:r>
          </w:p>
          <w:p w:rsidR="001B0EF5" w:rsidRDefault="00195644" w:rsidP="00195644">
            <w:pPr>
              <w:rPr>
                <w:rFonts w:ascii="Times New Roman" w:hAnsi="Times New Roman" w:cs="Times New Roman"/>
              </w:rPr>
            </w:pPr>
            <w:r w:rsidRPr="003D1551">
              <w:rPr>
                <w:rFonts w:ascii="Times New Roman" w:hAnsi="Times New Roman" w:cs="Times New Roman"/>
              </w:rPr>
              <w:t xml:space="preserve">The administration of the colony did not progress at all under the governorship of </w:t>
            </w:r>
            <w:proofErr w:type="spellStart"/>
            <w:r w:rsidRPr="003D1551">
              <w:rPr>
                <w:rFonts w:ascii="Times New Roman" w:hAnsi="Times New Roman" w:cs="Times New Roman"/>
              </w:rPr>
              <w:t>Hindmarsh</w:t>
            </w:r>
            <w:proofErr w:type="spellEnd"/>
            <w:r>
              <w:rPr>
                <w:rFonts w:ascii="Times New Roman" w:hAnsi="Times New Roman" w:cs="Times New Roman"/>
              </w:rPr>
              <w:t>. The only progress that was made was the surveying of land by Light and his staff.</w:t>
            </w:r>
            <w:r>
              <w:rPr>
                <w:rStyle w:val="FootnoteReference"/>
                <w:rFonts w:ascii="Times New Roman" w:hAnsi="Times New Roman" w:cs="Times New Roman"/>
              </w:rPr>
              <w:footnoteReference w:id="2"/>
            </w:r>
            <w:r>
              <w:rPr>
                <w:rFonts w:ascii="Times New Roman" w:hAnsi="Times New Roman" w:cs="Times New Roman"/>
              </w:rPr>
              <w:t xml:space="preserve"> </w:t>
            </w:r>
          </w:p>
          <w:p w:rsidR="00195644" w:rsidRDefault="00195644" w:rsidP="00195644">
            <w:pPr>
              <w:rPr>
                <w:rFonts w:ascii="Times New Roman" w:hAnsi="Times New Roman" w:cs="Times New Roman"/>
              </w:rPr>
            </w:pPr>
            <w:r>
              <w:rPr>
                <w:rFonts w:ascii="Times New Roman" w:hAnsi="Times New Roman" w:cs="Times New Roman"/>
              </w:rPr>
              <w:t xml:space="preserve">Reasons for the lack of progress include: </w:t>
            </w:r>
          </w:p>
          <w:p w:rsidR="00195644" w:rsidRDefault="00195644" w:rsidP="00195644">
            <w:pPr>
              <w:pStyle w:val="ListParagraph"/>
              <w:numPr>
                <w:ilvl w:val="0"/>
                <w:numId w:val="30"/>
              </w:numPr>
              <w:rPr>
                <w:rFonts w:ascii="Times New Roman" w:hAnsi="Times New Roman" w:cs="Times New Roman"/>
              </w:rPr>
            </w:pPr>
            <w:r w:rsidRPr="003D1551">
              <w:rPr>
                <w:rFonts w:ascii="Times New Roman" w:hAnsi="Times New Roman" w:cs="Times New Roman"/>
              </w:rPr>
              <w:t xml:space="preserve">Joint authority between Hindmarsh and </w:t>
            </w:r>
            <w:r>
              <w:rPr>
                <w:rFonts w:ascii="Times New Roman" w:hAnsi="Times New Roman" w:cs="Times New Roman"/>
              </w:rPr>
              <w:t xml:space="preserve">the powerful and influential </w:t>
            </w:r>
            <w:r w:rsidRPr="003D1551">
              <w:rPr>
                <w:rFonts w:ascii="Times New Roman" w:hAnsi="Times New Roman" w:cs="Times New Roman"/>
              </w:rPr>
              <w:t>resident commissioner</w:t>
            </w:r>
            <w:r>
              <w:rPr>
                <w:rFonts w:ascii="Times New Roman" w:hAnsi="Times New Roman" w:cs="Times New Roman"/>
              </w:rPr>
              <w:t>, James Hurtle Fischer</w:t>
            </w:r>
            <w:r w:rsidRPr="003D1551">
              <w:rPr>
                <w:rFonts w:ascii="Times New Roman" w:hAnsi="Times New Roman" w:cs="Times New Roman"/>
              </w:rPr>
              <w:t xml:space="preserve"> caused </w:t>
            </w:r>
            <w:r>
              <w:rPr>
                <w:rFonts w:ascii="Times New Roman" w:hAnsi="Times New Roman" w:cs="Times New Roman"/>
              </w:rPr>
              <w:t xml:space="preserve">enormous </w:t>
            </w:r>
            <w:r w:rsidRPr="003D1551">
              <w:rPr>
                <w:rFonts w:ascii="Times New Roman" w:hAnsi="Times New Roman" w:cs="Times New Roman"/>
              </w:rPr>
              <w:t xml:space="preserve">conflict making the administration of the province impossible. </w:t>
            </w:r>
            <w:r>
              <w:rPr>
                <w:rFonts w:ascii="Times New Roman" w:hAnsi="Times New Roman" w:cs="Times New Roman"/>
              </w:rPr>
              <w:t xml:space="preserve"> Even the most trivial differences between them were elevated to trials of strength.</w:t>
            </w:r>
            <w:r>
              <w:rPr>
                <w:rStyle w:val="FootnoteReference"/>
                <w:rFonts w:ascii="Times New Roman" w:hAnsi="Times New Roman" w:cs="Times New Roman"/>
              </w:rPr>
              <w:footnoteReference w:id="3"/>
            </w:r>
            <w:r>
              <w:rPr>
                <w:rFonts w:ascii="Times New Roman" w:hAnsi="Times New Roman" w:cs="Times New Roman"/>
              </w:rPr>
              <w:t xml:space="preserve"> </w:t>
            </w:r>
          </w:p>
          <w:p w:rsidR="00195644" w:rsidRPr="00B268FC" w:rsidRDefault="00195644" w:rsidP="00195644">
            <w:pPr>
              <w:pStyle w:val="ListParagraph"/>
              <w:numPr>
                <w:ilvl w:val="0"/>
                <w:numId w:val="30"/>
              </w:numPr>
              <w:rPr>
                <w:rFonts w:ascii="Times New Roman" w:hAnsi="Times New Roman" w:cs="Times New Roman"/>
              </w:rPr>
            </w:pPr>
            <w:r w:rsidRPr="003D1551">
              <w:rPr>
                <w:rFonts w:ascii="Times New Roman" w:hAnsi="Times New Roman" w:cs="Times New Roman"/>
              </w:rPr>
              <w:t xml:space="preserve">Fischer had arbitrary power over the sale of land, </w:t>
            </w:r>
            <w:r>
              <w:rPr>
                <w:rFonts w:ascii="Times New Roman" w:hAnsi="Times New Roman" w:cs="Times New Roman"/>
              </w:rPr>
              <w:t xml:space="preserve">was </w:t>
            </w:r>
            <w:r w:rsidRPr="003D1551">
              <w:rPr>
                <w:rFonts w:ascii="Times New Roman" w:hAnsi="Times New Roman" w:cs="Times New Roman"/>
              </w:rPr>
              <w:t>the emigration officer, and the colonial treasurer</w:t>
            </w:r>
            <w:r>
              <w:rPr>
                <w:rFonts w:ascii="Times New Roman" w:hAnsi="Times New Roman" w:cs="Times New Roman"/>
              </w:rPr>
              <w:t>,</w:t>
            </w:r>
            <w:r w:rsidRPr="003D1551">
              <w:rPr>
                <w:rFonts w:ascii="Times New Roman" w:hAnsi="Times New Roman" w:cs="Times New Roman"/>
              </w:rPr>
              <w:t xml:space="preserve"> enablin</w:t>
            </w:r>
            <w:r>
              <w:rPr>
                <w:rFonts w:ascii="Times New Roman" w:hAnsi="Times New Roman" w:cs="Times New Roman"/>
              </w:rPr>
              <w:t>g him to ignore Hindmarsh.</w:t>
            </w:r>
            <w:r>
              <w:rPr>
                <w:rStyle w:val="FootnoteReference"/>
                <w:rFonts w:ascii="Times New Roman" w:hAnsi="Times New Roman" w:cs="Times New Roman"/>
              </w:rPr>
              <w:footnoteReference w:id="4"/>
            </w:r>
            <w:r>
              <w:rPr>
                <w:rFonts w:ascii="Times New Roman" w:hAnsi="Times New Roman" w:cs="Times New Roman"/>
              </w:rPr>
              <w:t xml:space="preserve"> </w:t>
            </w:r>
          </w:p>
          <w:p w:rsidR="00195644"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Hindmarsh’s authority was continually disputed by </w:t>
            </w:r>
            <w:r w:rsidRPr="00913095">
              <w:rPr>
                <w:rFonts w:ascii="Times New Roman" w:hAnsi="Times New Roman" w:cs="Times New Roman"/>
              </w:rPr>
              <w:t>mostly disrespectful, inexperienced and</w:t>
            </w:r>
            <w:r>
              <w:rPr>
                <w:rFonts w:ascii="Times New Roman" w:hAnsi="Times New Roman" w:cs="Times New Roman"/>
              </w:rPr>
              <w:t>/or</w:t>
            </w:r>
            <w:r w:rsidRPr="00913095">
              <w:rPr>
                <w:rFonts w:ascii="Times New Roman" w:hAnsi="Times New Roman" w:cs="Times New Roman"/>
              </w:rPr>
              <w:t xml:space="preserve"> inefficient officers.</w:t>
            </w:r>
          </w:p>
          <w:p w:rsidR="00195644" w:rsidRPr="00D02051"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When it came to appointment of senior staff, preference would be given to those able and willing to buy 5000 acres for every 100 pounds salary they were to receive. Thus ‘commercial and official pursuits in the colony would be not merely tolerated but encouraged’. </w:t>
            </w:r>
            <w:r>
              <w:rPr>
                <w:rStyle w:val="FootnoteReference"/>
                <w:rFonts w:ascii="Times New Roman" w:hAnsi="Times New Roman" w:cs="Times New Roman"/>
              </w:rPr>
              <w:footnoteReference w:id="5"/>
            </w:r>
            <w:r w:rsidRPr="00D02051">
              <w:rPr>
                <w:rFonts w:ascii="Times New Roman" w:hAnsi="Times New Roman" w:cs="Times New Roman"/>
              </w:rPr>
              <w:t xml:space="preserve"> </w:t>
            </w:r>
          </w:p>
          <w:p w:rsidR="00195644"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Delays in surveying the land meant possession of land and cultivation was slow.  </w:t>
            </w:r>
          </w:p>
          <w:p w:rsidR="00195644" w:rsidRPr="00075C61"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Land speculation also absorbed </w:t>
            </w:r>
            <w:r w:rsidR="006E5BE4">
              <w:rPr>
                <w:rFonts w:ascii="Times New Roman" w:hAnsi="Times New Roman" w:cs="Times New Roman"/>
              </w:rPr>
              <w:t xml:space="preserve">by </w:t>
            </w:r>
            <w:r>
              <w:rPr>
                <w:rFonts w:ascii="Times New Roman" w:hAnsi="Times New Roman" w:cs="Times New Roman"/>
              </w:rPr>
              <w:t xml:space="preserve">the early colonist interests and often their funds. </w:t>
            </w:r>
            <w:r w:rsidRPr="006A03D4">
              <w:rPr>
                <w:rFonts w:ascii="Times New Roman" w:hAnsi="Times New Roman" w:cs="Times New Roman"/>
              </w:rPr>
              <w:t xml:space="preserve">Land purchasers </w:t>
            </w:r>
            <w:r>
              <w:rPr>
                <w:rFonts w:ascii="Times New Roman" w:hAnsi="Times New Roman" w:cs="Times New Roman"/>
              </w:rPr>
              <w:t>would wait</w:t>
            </w:r>
            <w:r w:rsidRPr="006A03D4">
              <w:rPr>
                <w:rFonts w:ascii="Times New Roman" w:hAnsi="Times New Roman" w:cs="Times New Roman"/>
              </w:rPr>
              <w:t xml:space="preserve"> for property values to rise</w:t>
            </w:r>
            <w:r>
              <w:rPr>
                <w:rFonts w:ascii="Times New Roman" w:hAnsi="Times New Roman" w:cs="Times New Roman"/>
              </w:rPr>
              <w:t xml:space="preserve"> and walk</w:t>
            </w:r>
            <w:r w:rsidRPr="006A03D4">
              <w:rPr>
                <w:rFonts w:ascii="Times New Roman" w:hAnsi="Times New Roman" w:cs="Times New Roman"/>
              </w:rPr>
              <w:t xml:space="preserve"> away with the profits. </w:t>
            </w:r>
            <w:r>
              <w:rPr>
                <w:rStyle w:val="FootnoteReference"/>
                <w:rFonts w:ascii="Times New Roman" w:hAnsi="Times New Roman" w:cs="Times New Roman"/>
              </w:rPr>
              <w:footnoteReference w:id="6"/>
            </w:r>
          </w:p>
          <w:p w:rsidR="00195644"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Hindmarsh also had a tendency to tamper with Light’s instructions and plans for the colony. </w:t>
            </w:r>
          </w:p>
          <w:p w:rsidR="00195644"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Lack of funds.  Hindmarsh’s financial power was limited to Crown revenue which was non –existent from the outset.  </w:t>
            </w:r>
          </w:p>
          <w:p w:rsidR="00195644"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Lack of support from the colonial office. </w:t>
            </w:r>
          </w:p>
          <w:p w:rsidR="00195644" w:rsidRPr="00FB6520"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 xml:space="preserve">Hindmarsh was impatient of opposition and would swear at his officers if his opinions were questioned. </w:t>
            </w:r>
          </w:p>
          <w:p w:rsidR="00195644"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As a naval officer, Hindmarsh was unsure of particulars of civil/colonial administration</w:t>
            </w:r>
          </w:p>
          <w:p w:rsidR="00195644" w:rsidRDefault="00195644" w:rsidP="00195644">
            <w:pPr>
              <w:pStyle w:val="ListParagraph"/>
              <w:numPr>
                <w:ilvl w:val="0"/>
                <w:numId w:val="29"/>
              </w:numPr>
              <w:rPr>
                <w:rFonts w:ascii="Times New Roman" w:hAnsi="Times New Roman" w:cs="Times New Roman"/>
              </w:rPr>
            </w:pPr>
            <w:r>
              <w:rPr>
                <w:rFonts w:ascii="Times New Roman" w:hAnsi="Times New Roman" w:cs="Times New Roman"/>
              </w:rPr>
              <w:t>His actions were also often hasty and ill advised.</w:t>
            </w:r>
          </w:p>
          <w:p w:rsidR="001B0EF5" w:rsidRPr="006A03D4" w:rsidRDefault="00195644" w:rsidP="001B0EF5">
            <w:pPr>
              <w:rPr>
                <w:rFonts w:ascii="Times New Roman" w:hAnsi="Times New Roman" w:cs="Times New Roman"/>
              </w:rPr>
            </w:pPr>
            <w:r w:rsidRPr="006A03D4">
              <w:rPr>
                <w:rFonts w:ascii="Times New Roman" w:hAnsi="Times New Roman" w:cs="Times New Roman"/>
              </w:rPr>
              <w:t>In 1</w:t>
            </w:r>
            <w:r w:rsidR="00A50406">
              <w:rPr>
                <w:rFonts w:ascii="Times New Roman" w:hAnsi="Times New Roman" w:cs="Times New Roman"/>
              </w:rPr>
              <w:t>8</w:t>
            </w:r>
            <w:r w:rsidRPr="006A03D4">
              <w:rPr>
                <w:rFonts w:ascii="Times New Roman" w:hAnsi="Times New Roman" w:cs="Times New Roman"/>
              </w:rPr>
              <w:t xml:space="preserve">38, </w:t>
            </w:r>
            <w:proofErr w:type="spellStart"/>
            <w:r w:rsidRPr="006A03D4">
              <w:rPr>
                <w:rFonts w:ascii="Times New Roman" w:hAnsi="Times New Roman" w:cs="Times New Roman"/>
              </w:rPr>
              <w:t>Hindmarsh</w:t>
            </w:r>
            <w:proofErr w:type="spellEnd"/>
            <w:r w:rsidRPr="006A03D4">
              <w:rPr>
                <w:rFonts w:ascii="Times New Roman" w:hAnsi="Times New Roman" w:cs="Times New Roman"/>
              </w:rPr>
              <w:t xml:space="preserve"> recalled to L</w:t>
            </w:r>
            <w:r w:rsidR="001B0EF5">
              <w:rPr>
                <w:rFonts w:ascii="Times New Roman" w:hAnsi="Times New Roman" w:cs="Times New Roman"/>
              </w:rPr>
              <w:t>ondon and Fisher was dismissed.</w:t>
            </w:r>
          </w:p>
          <w:p w:rsidR="00195644" w:rsidRPr="000C61AA" w:rsidRDefault="00195644" w:rsidP="00195644">
            <w:pPr>
              <w:ind w:firstLine="0"/>
              <w:rPr>
                <w:rFonts w:ascii="Times New Roman" w:hAnsi="Times New Roman" w:cs="Times New Roman"/>
              </w:rPr>
            </w:pPr>
            <w:r w:rsidRPr="00E41637">
              <w:rPr>
                <w:rFonts w:ascii="Times New Roman" w:hAnsi="Times New Roman" w:cs="Times New Roman"/>
                <w:b/>
              </w:rPr>
              <w:t>Why he came to South Australia:</w:t>
            </w:r>
          </w:p>
          <w:p w:rsidR="00C63C9B" w:rsidRPr="001B0EF5" w:rsidRDefault="00195644" w:rsidP="006E5BE4">
            <w:pPr>
              <w:pStyle w:val="ListParagraph"/>
              <w:numPr>
                <w:ilvl w:val="0"/>
                <w:numId w:val="31"/>
              </w:numPr>
              <w:rPr>
                <w:rFonts w:ascii="Times New Roman" w:hAnsi="Times New Roman" w:cs="Times New Roman"/>
              </w:rPr>
            </w:pPr>
            <w:r>
              <w:rPr>
                <w:rFonts w:ascii="Times New Roman" w:hAnsi="Times New Roman" w:cs="Times New Roman"/>
              </w:rPr>
              <w:t xml:space="preserve">Hindmarsh applied for, and secured the job of </w:t>
            </w:r>
            <w:r w:rsidR="006E5BE4">
              <w:rPr>
                <w:rFonts w:ascii="Times New Roman" w:hAnsi="Times New Roman" w:cs="Times New Roman"/>
              </w:rPr>
              <w:t>G</w:t>
            </w:r>
            <w:bookmarkStart w:id="0" w:name="_GoBack"/>
            <w:bookmarkEnd w:id="0"/>
            <w:r>
              <w:rPr>
                <w:rFonts w:ascii="Times New Roman" w:hAnsi="Times New Roman" w:cs="Times New Roman"/>
              </w:rPr>
              <w:t>overnor.  He was considered a naval officer ‘of merit and character’</w:t>
            </w:r>
            <w:r>
              <w:rPr>
                <w:rStyle w:val="FootnoteReference"/>
                <w:rFonts w:ascii="Times New Roman" w:hAnsi="Times New Roman" w:cs="Times New Roman"/>
              </w:rPr>
              <w:footnoteReference w:id="7"/>
            </w:r>
            <w:r>
              <w:rPr>
                <w:rFonts w:ascii="Times New Roman" w:hAnsi="Times New Roman" w:cs="Times New Roman"/>
              </w:rPr>
              <w:t xml:space="preserve">  and ‘colonial governorships were regarded as suitable rewards for service in the army or navy’.</w:t>
            </w:r>
            <w:r>
              <w:rPr>
                <w:rStyle w:val="FootnoteReference"/>
                <w:rFonts w:ascii="Times New Roman" w:hAnsi="Times New Roman" w:cs="Times New Roman"/>
              </w:rPr>
              <w:footnoteReference w:id="8"/>
            </w:r>
            <w:r>
              <w:rPr>
                <w:rFonts w:ascii="Times New Roman" w:hAnsi="Times New Roman" w:cs="Times New Roman"/>
              </w:rPr>
              <w:t xml:space="preserve">  </w:t>
            </w:r>
          </w:p>
        </w:tc>
      </w:tr>
      <w:tr w:rsidR="005F65B9" w:rsidRPr="008B4F7C" w:rsidTr="00683D35">
        <w:trPr>
          <w:trHeight w:val="3818"/>
          <w:jc w:val="center"/>
        </w:trPr>
        <w:tc>
          <w:tcPr>
            <w:tcW w:w="9773" w:type="dxa"/>
            <w:tcBorders>
              <w:top w:val="single" w:sz="4" w:space="0" w:color="auto"/>
            </w:tcBorders>
          </w:tcPr>
          <w:p w:rsidR="005F65B9" w:rsidRDefault="00114A5F" w:rsidP="00195644">
            <w:pPr>
              <w:ind w:firstLine="0"/>
              <w:rPr>
                <w:rFonts w:ascii="Times New Roman" w:hAnsi="Times New Roman" w:cs="Times New Roman"/>
              </w:rPr>
            </w:pPr>
            <w:r>
              <w:rPr>
                <w:rFonts w:ascii="Times New Roman" w:hAnsi="Times New Roman" w:cs="Times New Roman"/>
                <w:noProof/>
                <w:lang w:val="en-AU" w:eastAsia="en-AU"/>
              </w:rPr>
              <w:drawing>
                <wp:inline distT="0" distB="0" distL="0" distR="0" wp14:anchorId="68BC7C33" wp14:editId="21F5A9C3">
                  <wp:extent cx="210502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dmarsh Square Adelaide 1929 SASL [B5531].jpg"/>
                          <pic:cNvPicPr/>
                        </pic:nvPicPr>
                        <pic:blipFill rotWithShape="1">
                          <a:blip r:embed="rId13" cstate="print">
                            <a:extLst>
                              <a:ext uri="{28A0092B-C50C-407E-A947-70E740481C1C}">
                                <a14:useLocalDpi xmlns:a14="http://schemas.microsoft.com/office/drawing/2010/main" val="0"/>
                              </a:ext>
                            </a:extLst>
                          </a:blip>
                          <a:srcRect l="5555" t="4268"/>
                          <a:stretch/>
                        </pic:blipFill>
                        <pic:spPr bwMode="auto">
                          <a:xfrm>
                            <a:off x="0" y="0"/>
                            <a:ext cx="2105025" cy="149542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r>
              <w:rPr>
                <w:rFonts w:ascii="Times New Roman" w:hAnsi="Times New Roman" w:cs="Times New Roman"/>
                <w:noProof/>
                <w:lang w:val="en-AU" w:eastAsia="en-AU"/>
              </w:rPr>
              <w:drawing>
                <wp:inline distT="0" distB="0" distL="0" distR="0" wp14:anchorId="13780DE0" wp14:editId="7FB8F48E">
                  <wp:extent cx="2438400" cy="1264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e-eb1c-5977-aac7-1ba25b6de415.jpg"/>
                          <pic:cNvPicPr/>
                        </pic:nvPicPr>
                        <pic:blipFill rotWithShape="1">
                          <a:blip r:embed="rId14" cstate="print">
                            <a:extLst>
                              <a:ext uri="{28A0092B-C50C-407E-A947-70E740481C1C}">
                                <a14:useLocalDpi xmlns:a14="http://schemas.microsoft.com/office/drawing/2010/main" val="0"/>
                              </a:ext>
                            </a:extLst>
                          </a:blip>
                          <a:srcRect l="16279" t="21127"/>
                          <a:stretch/>
                        </pic:blipFill>
                        <pic:spPr bwMode="auto">
                          <a:xfrm>
                            <a:off x="0" y="0"/>
                            <a:ext cx="2415792" cy="1252632"/>
                          </a:xfrm>
                          <a:prstGeom prst="rect">
                            <a:avLst/>
                          </a:prstGeom>
                          <a:ln>
                            <a:noFill/>
                          </a:ln>
                          <a:extLst>
                            <a:ext uri="{53640926-AAD7-44D8-BBD7-CCE9431645EC}">
                              <a14:shadowObscured xmlns:a14="http://schemas.microsoft.com/office/drawing/2010/main"/>
                            </a:ext>
                          </a:extLst>
                        </pic:spPr>
                      </pic:pic>
                    </a:graphicData>
                  </a:graphic>
                </wp:inline>
              </w:drawing>
            </w:r>
          </w:p>
          <w:p w:rsidR="00114A5F" w:rsidRPr="00195644" w:rsidRDefault="00114A5F" w:rsidP="00114A5F">
            <w:pPr>
              <w:ind w:firstLine="0"/>
            </w:pPr>
            <w:proofErr w:type="spellStart"/>
            <w:r w:rsidRPr="00114A5F">
              <w:rPr>
                <w:rFonts w:ascii="Times New Roman" w:hAnsi="Times New Roman" w:cs="Times New Roman"/>
              </w:rPr>
              <w:t>Hindmarsh</w:t>
            </w:r>
            <w:proofErr w:type="spellEnd"/>
            <w:r w:rsidRPr="00114A5F">
              <w:rPr>
                <w:rFonts w:ascii="Times New Roman" w:hAnsi="Times New Roman" w:cs="Times New Roman"/>
              </w:rPr>
              <w:t xml:space="preserve"> Square, Adelaide (approximately 1929) </w:t>
            </w:r>
            <w:r>
              <w:rPr>
                <w:rStyle w:val="FootnoteReference"/>
                <w:rFonts w:ascii="Times New Roman" w:hAnsi="Times New Roman" w:cs="Times New Roman"/>
              </w:rPr>
              <w:footnoteReference w:id="9"/>
            </w:r>
            <w:r w:rsidRPr="00114A5F">
              <w:rPr>
                <w:rFonts w:ascii="Times New Roman" w:hAnsi="Times New Roman" w:cs="Times New Roman"/>
              </w:rPr>
              <w:t xml:space="preserve"> </w:t>
            </w:r>
            <w:r>
              <w:rPr>
                <w:rFonts w:ascii="Times New Roman" w:hAnsi="Times New Roman" w:cs="Times New Roman"/>
              </w:rPr>
              <w:t xml:space="preserve">   </w:t>
            </w:r>
            <w:proofErr w:type="spellStart"/>
            <w:r w:rsidRPr="00114A5F">
              <w:rPr>
                <w:rFonts w:ascii="Times New Roman" w:hAnsi="Times New Roman" w:cs="Times New Roman"/>
              </w:rPr>
              <w:t>Hindmarsh</w:t>
            </w:r>
            <w:proofErr w:type="spellEnd"/>
            <w:r w:rsidRPr="00114A5F">
              <w:rPr>
                <w:rFonts w:ascii="Times New Roman" w:hAnsi="Times New Roman" w:cs="Times New Roman"/>
              </w:rPr>
              <w:t xml:space="preserve"> Square (approximately 1860)</w:t>
            </w:r>
            <w:r>
              <w:rPr>
                <w:rStyle w:val="FootnoteReference"/>
                <w:rFonts w:ascii="Times New Roman" w:hAnsi="Times New Roman" w:cs="Times New Roman"/>
              </w:rPr>
              <w:footnoteReference w:id="10"/>
            </w:r>
            <w:r w:rsidRPr="00114A5F">
              <w:rPr>
                <w:rFonts w:ascii="Times New Roman" w:hAnsi="Times New Roman" w:cs="Times New Roman"/>
              </w:rPr>
              <w:t xml:space="preserve"> </w:t>
            </w:r>
            <w:r>
              <w:rPr>
                <w:rFonts w:ascii="Times New Roman" w:hAnsi="Times New Roman" w:cs="Times New Roman"/>
              </w:rPr>
              <w:t xml:space="preserve">           </w:t>
            </w:r>
          </w:p>
          <w:p w:rsidR="00195644" w:rsidRDefault="00195644" w:rsidP="00195644">
            <w:pPr>
              <w:pStyle w:val="ListParagraph"/>
              <w:ind w:left="0"/>
              <w:rPr>
                <w:rFonts w:ascii="Times New Roman" w:hAnsi="Times New Roman" w:cs="Times New Roman"/>
              </w:rPr>
            </w:pPr>
          </w:p>
          <w:p w:rsidR="00195644" w:rsidRPr="00F146E4" w:rsidRDefault="00195644" w:rsidP="00195644">
            <w:pPr>
              <w:ind w:firstLine="0"/>
              <w:rPr>
                <w:rFonts w:ascii="Times New Roman" w:hAnsi="Times New Roman" w:cs="Times New Roman"/>
              </w:rPr>
            </w:pPr>
          </w:p>
        </w:tc>
        <w:tc>
          <w:tcPr>
            <w:tcW w:w="4612" w:type="dxa"/>
            <w:tcBorders>
              <w:top w:val="single" w:sz="4" w:space="0" w:color="auto"/>
            </w:tcBorders>
          </w:tcPr>
          <w:p w:rsidR="00195644" w:rsidRDefault="00195644" w:rsidP="00195644">
            <w:pPr>
              <w:pStyle w:val="ListParagraph"/>
              <w:ind w:left="360"/>
              <w:rPr>
                <w:rFonts w:ascii="Times New Roman" w:hAnsi="Times New Roman" w:cs="Times New Roman"/>
              </w:rPr>
            </w:pPr>
          </w:p>
          <w:p w:rsidR="00114A5F" w:rsidRPr="008D02DB" w:rsidRDefault="00114A5F" w:rsidP="00114A5F">
            <w:pPr>
              <w:rPr>
                <w:rFonts w:ascii="Times New Roman" w:hAnsi="Times New Roman" w:cs="Times New Roman"/>
              </w:rPr>
            </w:pPr>
            <w:r>
              <w:rPr>
                <w:rFonts w:ascii="Times New Roman" w:hAnsi="Times New Roman" w:cs="Times New Roman"/>
                <w:b/>
              </w:rPr>
              <w:t>Commemoration</w:t>
            </w:r>
            <w:r w:rsidRPr="003D17C1">
              <w:rPr>
                <w:rFonts w:ascii="Times New Roman" w:hAnsi="Times New Roman" w:cs="Times New Roman"/>
                <w:b/>
              </w:rPr>
              <w:t>:</w:t>
            </w:r>
          </w:p>
          <w:p w:rsidR="00114A5F" w:rsidRPr="003D17C1" w:rsidRDefault="00114A5F" w:rsidP="00114A5F">
            <w:pPr>
              <w:pStyle w:val="ListParagraph"/>
              <w:numPr>
                <w:ilvl w:val="0"/>
                <w:numId w:val="32"/>
              </w:numPr>
              <w:rPr>
                <w:rFonts w:ascii="Times New Roman" w:hAnsi="Times New Roman" w:cs="Times New Roman"/>
              </w:rPr>
            </w:pPr>
            <w:r w:rsidRPr="003D17C1">
              <w:rPr>
                <w:rFonts w:ascii="Times New Roman" w:hAnsi="Times New Roman" w:cs="Times New Roman"/>
              </w:rPr>
              <w:t>Hindmarsh Square Adelaide</w:t>
            </w:r>
            <w:r>
              <w:rPr>
                <w:rFonts w:ascii="Times New Roman" w:hAnsi="Times New Roman" w:cs="Times New Roman"/>
              </w:rPr>
              <w:t xml:space="preserve"> </w:t>
            </w:r>
          </w:p>
          <w:p w:rsidR="00114A5F" w:rsidRPr="003D17C1" w:rsidRDefault="00114A5F" w:rsidP="00114A5F">
            <w:pPr>
              <w:pStyle w:val="ListParagraph"/>
              <w:numPr>
                <w:ilvl w:val="0"/>
                <w:numId w:val="32"/>
              </w:numPr>
              <w:rPr>
                <w:rFonts w:ascii="Times New Roman" w:hAnsi="Times New Roman" w:cs="Times New Roman"/>
              </w:rPr>
            </w:pPr>
            <w:r w:rsidRPr="003D17C1">
              <w:rPr>
                <w:rFonts w:ascii="Times New Roman" w:hAnsi="Times New Roman" w:cs="Times New Roman"/>
              </w:rPr>
              <w:t>Adelaide suburb Hindmarsh</w:t>
            </w:r>
          </w:p>
          <w:p w:rsidR="00114A5F" w:rsidRDefault="00114A5F" w:rsidP="00114A5F">
            <w:pPr>
              <w:pStyle w:val="ListParagraph"/>
              <w:numPr>
                <w:ilvl w:val="0"/>
                <w:numId w:val="32"/>
              </w:numPr>
              <w:rPr>
                <w:rFonts w:ascii="Times New Roman" w:hAnsi="Times New Roman" w:cs="Times New Roman"/>
              </w:rPr>
            </w:pPr>
            <w:r w:rsidRPr="003D17C1">
              <w:rPr>
                <w:rFonts w:ascii="Times New Roman" w:hAnsi="Times New Roman" w:cs="Times New Roman"/>
              </w:rPr>
              <w:t>Hindmarsh Island</w:t>
            </w:r>
          </w:p>
          <w:p w:rsidR="00114A5F" w:rsidRDefault="00114A5F" w:rsidP="00114A5F">
            <w:pPr>
              <w:pStyle w:val="ListParagraph"/>
              <w:numPr>
                <w:ilvl w:val="0"/>
                <w:numId w:val="32"/>
              </w:numPr>
              <w:rPr>
                <w:rFonts w:ascii="Times New Roman" w:hAnsi="Times New Roman" w:cs="Times New Roman"/>
              </w:rPr>
            </w:pPr>
            <w:r>
              <w:rPr>
                <w:rFonts w:ascii="Times New Roman" w:hAnsi="Times New Roman" w:cs="Times New Roman"/>
              </w:rPr>
              <w:t>Division of Hindmarsh (electoral division)</w:t>
            </w:r>
          </w:p>
          <w:p w:rsidR="00195644" w:rsidRPr="008B4F7C" w:rsidRDefault="00195644" w:rsidP="00114A5F">
            <w:pPr>
              <w:pStyle w:val="ListParagraph"/>
              <w:ind w:left="360"/>
            </w:pPr>
          </w:p>
        </w:tc>
      </w:tr>
    </w:tbl>
    <w:p w:rsidR="00683D35" w:rsidRPr="00683D35" w:rsidRDefault="00683D35" w:rsidP="00683D35">
      <w:pPr>
        <w:pStyle w:val="ListParagraph"/>
        <w:pBdr>
          <w:bottom w:val="single" w:sz="4" w:space="1" w:color="auto"/>
        </w:pBdr>
        <w:ind w:left="0"/>
        <w:rPr>
          <w:rFonts w:ascii="Times New Roman" w:hAnsi="Times New Roman" w:cs="Times New Roman"/>
          <w:b/>
          <w:sz w:val="28"/>
          <w:szCs w:val="28"/>
        </w:rPr>
      </w:pPr>
      <w:r w:rsidRPr="00683D35">
        <w:rPr>
          <w:rFonts w:ascii="Times New Roman" w:hAnsi="Times New Roman" w:cs="Times New Roman"/>
          <w:b/>
          <w:sz w:val="28"/>
          <w:szCs w:val="28"/>
        </w:rPr>
        <w:t>References</w:t>
      </w:r>
    </w:p>
    <w:p w:rsidR="00683D35" w:rsidRPr="00683D35" w:rsidRDefault="00683D35" w:rsidP="00683D35">
      <w:pPr>
        <w:pStyle w:val="ListParagraph"/>
        <w:ind w:left="0"/>
        <w:rPr>
          <w:rFonts w:ascii="Times New Roman" w:hAnsi="Times New Roman" w:cs="Times New Roman"/>
          <w:sz w:val="28"/>
          <w:szCs w:val="28"/>
        </w:rPr>
      </w:pPr>
    </w:p>
    <w:p w:rsidR="00683D35" w:rsidRPr="00683D35" w:rsidRDefault="00683D35" w:rsidP="00683D35">
      <w:pPr>
        <w:pStyle w:val="ListParagraph"/>
        <w:ind w:left="0"/>
        <w:rPr>
          <w:rFonts w:ascii="Times New Roman" w:hAnsi="Times New Roman" w:cs="Times New Roman"/>
          <w:b/>
          <w:sz w:val="28"/>
          <w:szCs w:val="28"/>
          <w:u w:val="single"/>
        </w:rPr>
      </w:pPr>
      <w:r w:rsidRPr="00683D35">
        <w:rPr>
          <w:rFonts w:ascii="Times New Roman" w:hAnsi="Times New Roman" w:cs="Times New Roman"/>
          <w:b/>
          <w:sz w:val="28"/>
          <w:szCs w:val="28"/>
          <w:u w:val="single"/>
        </w:rPr>
        <w:t>Primary sources</w:t>
      </w:r>
    </w:p>
    <w:p w:rsidR="00683D35" w:rsidRPr="00683D35" w:rsidRDefault="00683D35" w:rsidP="00683D35">
      <w:pPr>
        <w:pStyle w:val="ListParagraph"/>
        <w:ind w:left="0"/>
        <w:rPr>
          <w:rFonts w:ascii="Times New Roman" w:hAnsi="Times New Roman" w:cs="Times New Roman"/>
          <w:sz w:val="28"/>
          <w:szCs w:val="28"/>
        </w:rPr>
      </w:pPr>
    </w:p>
    <w:p w:rsidR="00683D35" w:rsidRPr="00683D35" w:rsidRDefault="00683D35" w:rsidP="00683D35">
      <w:pPr>
        <w:pStyle w:val="ListParagraph"/>
        <w:numPr>
          <w:ilvl w:val="0"/>
          <w:numId w:val="34"/>
        </w:numPr>
        <w:rPr>
          <w:rFonts w:ascii="Times New Roman" w:hAnsi="Times New Roman" w:cs="Times New Roman"/>
          <w:sz w:val="28"/>
          <w:szCs w:val="28"/>
        </w:rPr>
      </w:pPr>
      <w:r w:rsidRPr="00683D35">
        <w:rPr>
          <w:rFonts w:ascii="Times New Roman" w:hAnsi="Times New Roman" w:cs="Times New Roman"/>
          <w:sz w:val="28"/>
          <w:szCs w:val="28"/>
        </w:rPr>
        <w:t>The Advertiser (Adelaide, SA 1889-1</w:t>
      </w:r>
      <w:r w:rsidR="00A50406">
        <w:rPr>
          <w:rFonts w:ascii="Times New Roman" w:hAnsi="Times New Roman" w:cs="Times New Roman"/>
          <w:sz w:val="28"/>
          <w:szCs w:val="28"/>
        </w:rPr>
        <w:t>8</w:t>
      </w:r>
      <w:r w:rsidRPr="00683D35">
        <w:rPr>
          <w:rFonts w:ascii="Times New Roman" w:hAnsi="Times New Roman" w:cs="Times New Roman"/>
          <w:sz w:val="28"/>
          <w:szCs w:val="28"/>
        </w:rPr>
        <w:t xml:space="preserve">93, ‘The first governor of Australia’, Mon 28 Jan 1929, p 12 </w:t>
      </w:r>
      <w:hyperlink r:id="rId15" w:history="1">
        <w:r w:rsidRPr="00683D35">
          <w:rPr>
            <w:rStyle w:val="Hyperlink"/>
            <w:rFonts w:ascii="Times New Roman" w:hAnsi="Times New Roman" w:cs="Times New Roman"/>
            <w:sz w:val="28"/>
            <w:szCs w:val="28"/>
          </w:rPr>
          <w:t>https://trove.nla.gov.au/newspaper/article/35322393</w:t>
        </w:r>
      </w:hyperlink>
      <w:r w:rsidRPr="00683D35">
        <w:rPr>
          <w:rFonts w:ascii="Times New Roman" w:hAnsi="Times New Roman" w:cs="Times New Roman"/>
          <w:sz w:val="28"/>
          <w:szCs w:val="28"/>
        </w:rPr>
        <w:t xml:space="preserve"> Accessed online 27 March 2018</w:t>
      </w:r>
    </w:p>
    <w:p w:rsidR="00683D35" w:rsidRPr="00683D35" w:rsidRDefault="00683D35" w:rsidP="00683D35">
      <w:pPr>
        <w:pStyle w:val="ListParagraph"/>
        <w:ind w:left="360"/>
        <w:rPr>
          <w:rFonts w:ascii="Times New Roman" w:hAnsi="Times New Roman" w:cs="Times New Roman"/>
          <w:sz w:val="28"/>
          <w:szCs w:val="28"/>
        </w:rPr>
      </w:pPr>
    </w:p>
    <w:p w:rsidR="00683D35" w:rsidRPr="00683D35" w:rsidRDefault="00683D35" w:rsidP="00683D35">
      <w:pPr>
        <w:pStyle w:val="ListParagraph"/>
        <w:numPr>
          <w:ilvl w:val="0"/>
          <w:numId w:val="34"/>
        </w:numPr>
        <w:rPr>
          <w:rFonts w:ascii="Times New Roman" w:hAnsi="Times New Roman" w:cs="Times New Roman"/>
          <w:sz w:val="28"/>
          <w:szCs w:val="28"/>
        </w:rPr>
      </w:pPr>
      <w:r w:rsidRPr="00683D35">
        <w:rPr>
          <w:rFonts w:ascii="Times New Roman" w:hAnsi="Times New Roman" w:cs="Times New Roman"/>
          <w:sz w:val="28"/>
          <w:szCs w:val="28"/>
        </w:rPr>
        <w:t xml:space="preserve">The Colonist (Sydney; NSW: 1835-1840)  ‘Governor Hindmarsh’,  Thursday 5 Oct 1837), p 3 </w:t>
      </w:r>
      <w:hyperlink r:id="rId16" w:history="1">
        <w:r w:rsidRPr="00683D35">
          <w:rPr>
            <w:rStyle w:val="Hyperlink"/>
            <w:rFonts w:ascii="Times New Roman" w:hAnsi="Times New Roman" w:cs="Times New Roman"/>
            <w:sz w:val="28"/>
            <w:szCs w:val="28"/>
          </w:rPr>
          <w:t>https://trove.nla.gov.au/newspaper/article/31719919</w:t>
        </w:r>
      </w:hyperlink>
    </w:p>
    <w:p w:rsidR="00683D35" w:rsidRPr="00683D35" w:rsidRDefault="00683D35" w:rsidP="00683D35">
      <w:pPr>
        <w:pStyle w:val="ListParagraph"/>
        <w:rPr>
          <w:rFonts w:ascii="Times New Roman" w:hAnsi="Times New Roman" w:cs="Times New Roman"/>
          <w:sz w:val="28"/>
          <w:szCs w:val="28"/>
        </w:rPr>
      </w:pPr>
    </w:p>
    <w:p w:rsidR="00683D35" w:rsidRPr="00683D35" w:rsidRDefault="00683D35" w:rsidP="00683D35">
      <w:pPr>
        <w:pStyle w:val="ListParagraph"/>
        <w:numPr>
          <w:ilvl w:val="0"/>
          <w:numId w:val="34"/>
        </w:numPr>
        <w:rPr>
          <w:rFonts w:ascii="Times New Roman" w:hAnsi="Times New Roman" w:cs="Times New Roman"/>
          <w:sz w:val="28"/>
          <w:szCs w:val="28"/>
        </w:rPr>
      </w:pPr>
      <w:r w:rsidRPr="00683D35">
        <w:rPr>
          <w:rFonts w:ascii="Times New Roman" w:hAnsi="Times New Roman" w:cs="Times New Roman"/>
          <w:sz w:val="28"/>
          <w:szCs w:val="28"/>
        </w:rPr>
        <w:t>South Australian Gazette and Colonial Register (Adelaide, SA: 18</w:t>
      </w:r>
      <w:r w:rsidR="00A50406">
        <w:rPr>
          <w:rFonts w:ascii="Times New Roman" w:hAnsi="Times New Roman" w:cs="Times New Roman"/>
          <w:sz w:val="28"/>
          <w:szCs w:val="28"/>
        </w:rPr>
        <w:t>3</w:t>
      </w:r>
      <w:r w:rsidRPr="00683D35">
        <w:rPr>
          <w:rFonts w:ascii="Times New Roman" w:hAnsi="Times New Roman" w:cs="Times New Roman"/>
          <w:sz w:val="28"/>
          <w:szCs w:val="28"/>
        </w:rPr>
        <w:t xml:space="preserve">6-1839)  ‘Tyranny of Governor Hindmarsh’, Sat 24 Feb 1838, p 3 </w:t>
      </w:r>
      <w:hyperlink r:id="rId17" w:history="1">
        <w:r w:rsidRPr="00683D35">
          <w:rPr>
            <w:rStyle w:val="Hyperlink"/>
            <w:rFonts w:ascii="Times New Roman" w:hAnsi="Times New Roman" w:cs="Times New Roman"/>
            <w:sz w:val="28"/>
            <w:szCs w:val="28"/>
          </w:rPr>
          <w:t>https://trove.nla.gov.au/newspaper/article/31719919</w:t>
        </w:r>
      </w:hyperlink>
      <w:r w:rsidRPr="00683D35">
        <w:rPr>
          <w:rFonts w:ascii="Times New Roman" w:hAnsi="Times New Roman" w:cs="Times New Roman"/>
          <w:sz w:val="28"/>
          <w:szCs w:val="28"/>
        </w:rPr>
        <w:t xml:space="preserve"> </w:t>
      </w:r>
    </w:p>
    <w:p w:rsidR="00683D35" w:rsidRPr="00683D35" w:rsidRDefault="00683D35" w:rsidP="00683D35">
      <w:pPr>
        <w:pStyle w:val="ListParagraph"/>
        <w:rPr>
          <w:rFonts w:ascii="Times New Roman" w:hAnsi="Times New Roman" w:cs="Times New Roman"/>
          <w:sz w:val="28"/>
          <w:szCs w:val="28"/>
        </w:rPr>
      </w:pPr>
    </w:p>
    <w:p w:rsidR="00683D35" w:rsidRPr="00683D35" w:rsidRDefault="00683D35" w:rsidP="00683D35">
      <w:pPr>
        <w:pStyle w:val="ListParagraph"/>
        <w:numPr>
          <w:ilvl w:val="0"/>
          <w:numId w:val="34"/>
        </w:numPr>
        <w:rPr>
          <w:rFonts w:ascii="Times New Roman" w:hAnsi="Times New Roman" w:cs="Times New Roman"/>
          <w:sz w:val="28"/>
          <w:szCs w:val="28"/>
        </w:rPr>
      </w:pPr>
      <w:r w:rsidRPr="00683D35">
        <w:rPr>
          <w:rFonts w:ascii="Times New Roman" w:hAnsi="Times New Roman" w:cs="Times New Roman"/>
          <w:sz w:val="28"/>
          <w:szCs w:val="28"/>
        </w:rPr>
        <w:t>South Australian Gazette and Colonial Register (Adelaide, SA: 18</w:t>
      </w:r>
      <w:r w:rsidR="00A50406">
        <w:rPr>
          <w:rFonts w:ascii="Times New Roman" w:hAnsi="Times New Roman" w:cs="Times New Roman"/>
          <w:sz w:val="28"/>
          <w:szCs w:val="28"/>
        </w:rPr>
        <w:t>3</w:t>
      </w:r>
      <w:r w:rsidRPr="00683D35">
        <w:rPr>
          <w:rFonts w:ascii="Times New Roman" w:hAnsi="Times New Roman" w:cs="Times New Roman"/>
          <w:sz w:val="28"/>
          <w:szCs w:val="28"/>
        </w:rPr>
        <w:t xml:space="preserve">6-1839)  ‘Recall of Governor Hindmarsh’, Sat 14 July 1838, p 2 </w:t>
      </w:r>
      <w:hyperlink r:id="rId18" w:history="1">
        <w:r w:rsidRPr="00683D35">
          <w:rPr>
            <w:rStyle w:val="Hyperlink"/>
            <w:rFonts w:ascii="Times New Roman" w:hAnsi="Times New Roman" w:cs="Times New Roman"/>
            <w:sz w:val="28"/>
            <w:szCs w:val="28"/>
          </w:rPr>
          <w:t>https://trove.nla.gov.au/newspaper/article/31750021</w:t>
        </w:r>
      </w:hyperlink>
      <w:r w:rsidRPr="00683D35">
        <w:rPr>
          <w:rFonts w:ascii="Times New Roman" w:hAnsi="Times New Roman" w:cs="Times New Roman"/>
          <w:sz w:val="28"/>
          <w:szCs w:val="28"/>
        </w:rPr>
        <w:t xml:space="preserve">  </w:t>
      </w:r>
    </w:p>
    <w:p w:rsidR="00683D35" w:rsidRPr="00683D35" w:rsidRDefault="00683D35" w:rsidP="00683D35">
      <w:pPr>
        <w:pStyle w:val="ListParagraph"/>
        <w:ind w:left="0"/>
        <w:rPr>
          <w:rFonts w:ascii="Times New Roman" w:hAnsi="Times New Roman" w:cs="Times New Roman"/>
          <w:sz w:val="28"/>
          <w:szCs w:val="28"/>
        </w:rPr>
      </w:pPr>
    </w:p>
    <w:p w:rsidR="00683D35" w:rsidRPr="00683D35" w:rsidRDefault="00683D35" w:rsidP="00683D35">
      <w:pPr>
        <w:pStyle w:val="ListParagraph"/>
        <w:ind w:left="0"/>
        <w:rPr>
          <w:rFonts w:ascii="Times New Roman" w:hAnsi="Times New Roman" w:cs="Times New Roman"/>
          <w:b/>
          <w:sz w:val="28"/>
          <w:szCs w:val="28"/>
          <w:u w:val="single"/>
        </w:rPr>
      </w:pPr>
      <w:r w:rsidRPr="00683D35">
        <w:rPr>
          <w:rFonts w:ascii="Times New Roman" w:hAnsi="Times New Roman" w:cs="Times New Roman"/>
          <w:b/>
          <w:sz w:val="28"/>
          <w:szCs w:val="28"/>
          <w:u w:val="single"/>
        </w:rPr>
        <w:t>Secondary sources</w:t>
      </w:r>
    </w:p>
    <w:p w:rsidR="00683D35" w:rsidRPr="00683D35" w:rsidRDefault="00683D35" w:rsidP="00683D35">
      <w:pPr>
        <w:pStyle w:val="ListParagraph"/>
        <w:ind w:left="0"/>
        <w:rPr>
          <w:rFonts w:ascii="Times New Roman" w:hAnsi="Times New Roman" w:cs="Times New Roman"/>
          <w:sz w:val="28"/>
          <w:szCs w:val="28"/>
        </w:rPr>
      </w:pPr>
    </w:p>
    <w:p w:rsidR="00683D35" w:rsidRPr="00683D35" w:rsidRDefault="00683D35" w:rsidP="00683D35">
      <w:pPr>
        <w:pStyle w:val="ListParagraph"/>
        <w:numPr>
          <w:ilvl w:val="0"/>
          <w:numId w:val="33"/>
        </w:numPr>
        <w:rPr>
          <w:rFonts w:ascii="Times New Roman" w:hAnsi="Times New Roman" w:cs="Times New Roman"/>
          <w:i/>
          <w:sz w:val="28"/>
          <w:szCs w:val="28"/>
        </w:rPr>
      </w:pPr>
      <w:r w:rsidRPr="00683D35">
        <w:rPr>
          <w:rFonts w:ascii="Times New Roman" w:hAnsi="Times New Roman" w:cs="Times New Roman"/>
          <w:sz w:val="28"/>
          <w:szCs w:val="28"/>
        </w:rPr>
        <w:t>J W Bull (1884</w:t>
      </w:r>
      <w:r w:rsidRPr="00683D35">
        <w:rPr>
          <w:rFonts w:ascii="Times New Roman" w:hAnsi="Times New Roman" w:cs="Times New Roman"/>
          <w:i/>
          <w:sz w:val="28"/>
          <w:szCs w:val="28"/>
        </w:rPr>
        <w:t>), Early Experiences of Life in South Australia and an Extended Colonial History</w:t>
      </w:r>
      <w:r w:rsidRPr="00683D35">
        <w:rPr>
          <w:rFonts w:ascii="Times New Roman" w:hAnsi="Times New Roman" w:cs="Times New Roman"/>
          <w:sz w:val="28"/>
          <w:szCs w:val="28"/>
        </w:rPr>
        <w:t xml:space="preserve">, E.S. </w:t>
      </w:r>
      <w:proofErr w:type="spellStart"/>
      <w:r w:rsidRPr="00683D35">
        <w:rPr>
          <w:rFonts w:ascii="Times New Roman" w:hAnsi="Times New Roman" w:cs="Times New Roman"/>
          <w:sz w:val="28"/>
          <w:szCs w:val="28"/>
        </w:rPr>
        <w:t>Wigg</w:t>
      </w:r>
      <w:proofErr w:type="spellEnd"/>
      <w:r w:rsidRPr="00683D35">
        <w:rPr>
          <w:rFonts w:ascii="Times New Roman" w:hAnsi="Times New Roman" w:cs="Times New Roman"/>
          <w:sz w:val="28"/>
          <w:szCs w:val="28"/>
        </w:rPr>
        <w:t xml:space="preserve"> and Son, Adelaide SA, eBooks @Adelaide, The University of Adelaide, last updated Feb 2015, </w:t>
      </w:r>
      <w:hyperlink r:id="rId19" w:history="1">
        <w:r w:rsidRPr="00683D35">
          <w:rPr>
            <w:rStyle w:val="Hyperlink"/>
            <w:rFonts w:ascii="Times New Roman" w:hAnsi="Times New Roman" w:cs="Times New Roman"/>
            <w:sz w:val="28"/>
            <w:szCs w:val="28"/>
          </w:rPr>
          <w:t>https://ebooks.adelaide.edu.au/b/bull/john_wrathall/early-experiences-of-life-in-south-australia/complete.html</w:t>
        </w:r>
      </w:hyperlink>
      <w:r w:rsidRPr="00683D35">
        <w:rPr>
          <w:rFonts w:ascii="Times New Roman" w:hAnsi="Times New Roman" w:cs="Times New Roman"/>
          <w:sz w:val="28"/>
          <w:szCs w:val="28"/>
        </w:rPr>
        <w:t xml:space="preserve">  Accessed online 27 March 2018</w:t>
      </w:r>
    </w:p>
    <w:p w:rsidR="00683D35" w:rsidRPr="00683D35" w:rsidRDefault="00683D35" w:rsidP="00683D35">
      <w:pPr>
        <w:pStyle w:val="ListParagraph"/>
        <w:ind w:left="360"/>
        <w:rPr>
          <w:rFonts w:ascii="Times New Roman" w:hAnsi="Times New Roman" w:cs="Times New Roman"/>
          <w:sz w:val="28"/>
          <w:szCs w:val="28"/>
        </w:rPr>
      </w:pPr>
      <w:r w:rsidRPr="00683D35">
        <w:rPr>
          <w:rFonts w:ascii="Times New Roman" w:hAnsi="Times New Roman" w:cs="Times New Roman"/>
          <w:sz w:val="28"/>
          <w:szCs w:val="28"/>
        </w:rPr>
        <w:t xml:space="preserve"> </w:t>
      </w:r>
    </w:p>
    <w:p w:rsidR="00683D35" w:rsidRPr="00683D35" w:rsidRDefault="00683D35" w:rsidP="00683D35">
      <w:pPr>
        <w:pStyle w:val="ListParagraph"/>
        <w:numPr>
          <w:ilvl w:val="0"/>
          <w:numId w:val="33"/>
        </w:numPr>
        <w:rPr>
          <w:rFonts w:ascii="Times New Roman" w:hAnsi="Times New Roman" w:cs="Times New Roman"/>
          <w:sz w:val="28"/>
          <w:szCs w:val="28"/>
        </w:rPr>
      </w:pPr>
      <w:r w:rsidRPr="00683D35">
        <w:rPr>
          <w:rFonts w:ascii="Times New Roman" w:hAnsi="Times New Roman" w:cs="Times New Roman"/>
          <w:sz w:val="28"/>
          <w:szCs w:val="28"/>
        </w:rPr>
        <w:t xml:space="preserve">F K Crowley (1974), </w:t>
      </w:r>
      <w:r w:rsidRPr="00683D35">
        <w:rPr>
          <w:rFonts w:ascii="Times New Roman" w:hAnsi="Times New Roman" w:cs="Times New Roman"/>
          <w:i/>
          <w:sz w:val="28"/>
          <w:szCs w:val="28"/>
        </w:rPr>
        <w:t>A New History of Australia</w:t>
      </w:r>
      <w:r w:rsidRPr="00683D35">
        <w:rPr>
          <w:rFonts w:ascii="Times New Roman" w:hAnsi="Times New Roman" w:cs="Times New Roman"/>
          <w:sz w:val="28"/>
          <w:szCs w:val="28"/>
        </w:rPr>
        <w:t>, William Heinemann Australia, Victoria</w:t>
      </w:r>
    </w:p>
    <w:p w:rsidR="00683D35" w:rsidRPr="00683D35" w:rsidRDefault="00683D35" w:rsidP="00683D35">
      <w:pPr>
        <w:pStyle w:val="ListParagraph"/>
        <w:ind w:left="0"/>
        <w:rPr>
          <w:rFonts w:ascii="Times New Roman" w:hAnsi="Times New Roman" w:cs="Times New Roman"/>
          <w:sz w:val="28"/>
          <w:szCs w:val="28"/>
        </w:rPr>
      </w:pPr>
    </w:p>
    <w:p w:rsidR="00683D35" w:rsidRPr="00683D35" w:rsidRDefault="00683D35" w:rsidP="00683D35">
      <w:pPr>
        <w:pStyle w:val="ListParagraph"/>
        <w:numPr>
          <w:ilvl w:val="0"/>
          <w:numId w:val="17"/>
        </w:numPr>
        <w:rPr>
          <w:rFonts w:ascii="Times New Roman" w:hAnsi="Times New Roman" w:cs="Times New Roman"/>
          <w:sz w:val="28"/>
          <w:szCs w:val="28"/>
        </w:rPr>
      </w:pPr>
      <w:r w:rsidRPr="00683D35">
        <w:rPr>
          <w:rFonts w:ascii="Times New Roman" w:hAnsi="Times New Roman" w:cs="Times New Roman"/>
          <w:sz w:val="28"/>
          <w:szCs w:val="28"/>
        </w:rPr>
        <w:t xml:space="preserve">RM Hague, H </w:t>
      </w:r>
      <w:proofErr w:type="spellStart"/>
      <w:r w:rsidRPr="00683D35">
        <w:rPr>
          <w:rFonts w:ascii="Times New Roman" w:hAnsi="Times New Roman" w:cs="Times New Roman"/>
          <w:sz w:val="28"/>
          <w:szCs w:val="28"/>
        </w:rPr>
        <w:t>Whitington</w:t>
      </w:r>
      <w:proofErr w:type="spellEnd"/>
      <w:r w:rsidRPr="00683D35">
        <w:rPr>
          <w:rFonts w:ascii="Times New Roman" w:hAnsi="Times New Roman" w:cs="Times New Roman"/>
          <w:sz w:val="28"/>
          <w:szCs w:val="28"/>
        </w:rPr>
        <w:t xml:space="preserve"> (2005), </w:t>
      </w:r>
      <w:r w:rsidRPr="00683D35">
        <w:rPr>
          <w:rFonts w:ascii="Times New Roman" w:hAnsi="Times New Roman" w:cs="Times New Roman"/>
          <w:i/>
          <w:sz w:val="28"/>
          <w:szCs w:val="28"/>
        </w:rPr>
        <w:t>Hague’s History of the Law in South Australia</w:t>
      </w:r>
      <w:r w:rsidRPr="00683D35">
        <w:rPr>
          <w:rFonts w:ascii="Times New Roman" w:hAnsi="Times New Roman" w:cs="Times New Roman"/>
          <w:sz w:val="28"/>
          <w:szCs w:val="28"/>
        </w:rPr>
        <w:t>, Volume 1, Barr Smith Press, University of Adelaide</w:t>
      </w:r>
    </w:p>
    <w:p w:rsidR="00683D35" w:rsidRPr="00683D35" w:rsidRDefault="00683D35" w:rsidP="00683D35">
      <w:pPr>
        <w:pStyle w:val="ListParagraph"/>
        <w:ind w:left="360"/>
        <w:rPr>
          <w:rFonts w:ascii="Times New Roman" w:hAnsi="Times New Roman" w:cs="Times New Roman"/>
          <w:sz w:val="28"/>
          <w:szCs w:val="28"/>
        </w:rPr>
      </w:pPr>
    </w:p>
    <w:p w:rsidR="00683D35" w:rsidRPr="00683D35" w:rsidRDefault="00683D35" w:rsidP="00683D35">
      <w:pPr>
        <w:pStyle w:val="ListParagraph"/>
        <w:numPr>
          <w:ilvl w:val="0"/>
          <w:numId w:val="17"/>
        </w:numPr>
        <w:rPr>
          <w:rFonts w:ascii="Times New Roman" w:hAnsi="Times New Roman" w:cs="Times New Roman"/>
          <w:sz w:val="28"/>
          <w:szCs w:val="28"/>
        </w:rPr>
      </w:pPr>
      <w:r w:rsidRPr="00683D35">
        <w:rPr>
          <w:rFonts w:ascii="Times New Roman" w:hAnsi="Times New Roman" w:cs="Times New Roman"/>
          <w:sz w:val="28"/>
          <w:szCs w:val="28"/>
        </w:rPr>
        <w:t xml:space="preserve">A Grenfell Price(1929; 1978), </w:t>
      </w:r>
      <w:r w:rsidRPr="00683D35">
        <w:rPr>
          <w:rFonts w:ascii="Times New Roman" w:hAnsi="Times New Roman" w:cs="Times New Roman"/>
          <w:i/>
          <w:sz w:val="28"/>
          <w:szCs w:val="28"/>
        </w:rPr>
        <w:t>Founders and Pioneers of South Australia</w:t>
      </w:r>
      <w:r w:rsidRPr="00683D35">
        <w:rPr>
          <w:rFonts w:ascii="Times New Roman" w:hAnsi="Times New Roman" w:cs="Times New Roman"/>
          <w:sz w:val="28"/>
          <w:szCs w:val="28"/>
        </w:rPr>
        <w:t>, Mary Martin Books, Adelaide</w:t>
      </w:r>
    </w:p>
    <w:p w:rsidR="00683D35" w:rsidRPr="00683D35" w:rsidRDefault="00683D35" w:rsidP="00683D35">
      <w:pPr>
        <w:pStyle w:val="ListParagraph"/>
        <w:rPr>
          <w:rFonts w:ascii="Times New Roman" w:hAnsi="Times New Roman" w:cs="Times New Roman"/>
          <w:sz w:val="28"/>
          <w:szCs w:val="28"/>
        </w:rPr>
      </w:pPr>
    </w:p>
    <w:p w:rsidR="00683D35" w:rsidRPr="00683D35" w:rsidRDefault="00683D35" w:rsidP="00683D35">
      <w:pPr>
        <w:pStyle w:val="ListParagraph"/>
        <w:numPr>
          <w:ilvl w:val="0"/>
          <w:numId w:val="17"/>
        </w:numPr>
        <w:rPr>
          <w:rFonts w:ascii="Times New Roman" w:hAnsi="Times New Roman" w:cs="Times New Roman"/>
          <w:color w:val="333333"/>
          <w:sz w:val="28"/>
          <w:szCs w:val="28"/>
        </w:rPr>
      </w:pPr>
      <w:r w:rsidRPr="00683D35">
        <w:rPr>
          <w:rFonts w:ascii="Times New Roman" w:hAnsi="Times New Roman" w:cs="Times New Roman"/>
          <w:color w:val="333333"/>
          <w:sz w:val="28"/>
          <w:szCs w:val="28"/>
        </w:rPr>
        <w:t xml:space="preserve">D Pike (1967), </w:t>
      </w:r>
      <w:r w:rsidRPr="00683D35">
        <w:rPr>
          <w:rFonts w:ascii="Times New Roman" w:hAnsi="Times New Roman" w:cs="Times New Roman"/>
          <w:i/>
          <w:color w:val="333333"/>
          <w:sz w:val="28"/>
          <w:szCs w:val="28"/>
        </w:rPr>
        <w:t>Paradise of Dissent, South Australia 1829-1857</w:t>
      </w:r>
      <w:r w:rsidRPr="00683D35">
        <w:rPr>
          <w:rFonts w:ascii="Times New Roman" w:hAnsi="Times New Roman" w:cs="Times New Roman"/>
          <w:color w:val="333333"/>
          <w:sz w:val="28"/>
          <w:szCs w:val="28"/>
        </w:rPr>
        <w:t>, 2</w:t>
      </w:r>
      <w:r w:rsidRPr="00683D35">
        <w:rPr>
          <w:rFonts w:ascii="Times New Roman" w:hAnsi="Times New Roman" w:cs="Times New Roman"/>
          <w:color w:val="333333"/>
          <w:sz w:val="28"/>
          <w:szCs w:val="28"/>
          <w:vertAlign w:val="superscript"/>
        </w:rPr>
        <w:t>nd</w:t>
      </w:r>
      <w:r w:rsidRPr="00683D35">
        <w:rPr>
          <w:rFonts w:ascii="Times New Roman" w:hAnsi="Times New Roman" w:cs="Times New Roman"/>
          <w:color w:val="333333"/>
          <w:sz w:val="28"/>
          <w:szCs w:val="28"/>
        </w:rPr>
        <w:t xml:space="preserve"> </w:t>
      </w:r>
      <w:proofErr w:type="spellStart"/>
      <w:r w:rsidRPr="00683D35">
        <w:rPr>
          <w:rFonts w:ascii="Times New Roman" w:hAnsi="Times New Roman" w:cs="Times New Roman"/>
          <w:color w:val="333333"/>
          <w:sz w:val="28"/>
          <w:szCs w:val="28"/>
        </w:rPr>
        <w:t>ed</w:t>
      </w:r>
      <w:proofErr w:type="spellEnd"/>
      <w:r w:rsidRPr="00683D35">
        <w:rPr>
          <w:rFonts w:ascii="Times New Roman" w:hAnsi="Times New Roman" w:cs="Times New Roman"/>
          <w:color w:val="333333"/>
          <w:sz w:val="28"/>
          <w:szCs w:val="28"/>
        </w:rPr>
        <w:t>, Melbourne University Press, pp 102-106</w:t>
      </w:r>
    </w:p>
    <w:p w:rsidR="00683D35" w:rsidRPr="00683D35" w:rsidRDefault="00683D35" w:rsidP="00683D35">
      <w:pPr>
        <w:pStyle w:val="ListParagraph"/>
        <w:rPr>
          <w:rFonts w:ascii="Times New Roman" w:hAnsi="Times New Roman" w:cs="Times New Roman"/>
          <w:color w:val="333333"/>
          <w:sz w:val="28"/>
          <w:szCs w:val="28"/>
        </w:rPr>
      </w:pPr>
    </w:p>
    <w:p w:rsidR="00683D35" w:rsidRPr="00683D35" w:rsidRDefault="00683D35" w:rsidP="00683D35">
      <w:pPr>
        <w:pStyle w:val="ListParagraph"/>
        <w:numPr>
          <w:ilvl w:val="0"/>
          <w:numId w:val="17"/>
        </w:numPr>
        <w:rPr>
          <w:rFonts w:ascii="Times New Roman" w:hAnsi="Times New Roman" w:cs="Times New Roman"/>
          <w:color w:val="333333"/>
          <w:sz w:val="28"/>
          <w:szCs w:val="28"/>
        </w:rPr>
      </w:pPr>
      <w:r w:rsidRPr="00683D35">
        <w:rPr>
          <w:rFonts w:ascii="Times New Roman" w:hAnsi="Times New Roman" w:cs="Times New Roman"/>
          <w:color w:val="333333"/>
          <w:sz w:val="28"/>
          <w:szCs w:val="28"/>
        </w:rPr>
        <w:t xml:space="preserve">I </w:t>
      </w:r>
      <w:proofErr w:type="spellStart"/>
      <w:r w:rsidRPr="00683D35">
        <w:rPr>
          <w:rFonts w:ascii="Times New Roman" w:hAnsi="Times New Roman" w:cs="Times New Roman"/>
          <w:color w:val="333333"/>
          <w:sz w:val="28"/>
          <w:szCs w:val="28"/>
        </w:rPr>
        <w:t>Radbone</w:t>
      </w:r>
      <w:proofErr w:type="spellEnd"/>
      <w:r w:rsidRPr="00683D35">
        <w:rPr>
          <w:rFonts w:ascii="Times New Roman" w:hAnsi="Times New Roman" w:cs="Times New Roman"/>
          <w:color w:val="333333"/>
          <w:sz w:val="28"/>
          <w:szCs w:val="28"/>
        </w:rPr>
        <w:t xml:space="preserve"> and J Robbins (1986) ‘Chapter 14 The history of the South Australian Public Service’  in D Jaensch (</w:t>
      </w:r>
      <w:proofErr w:type="spellStart"/>
      <w:r w:rsidRPr="00683D35">
        <w:rPr>
          <w:rFonts w:ascii="Times New Roman" w:hAnsi="Times New Roman" w:cs="Times New Roman"/>
          <w:color w:val="333333"/>
          <w:sz w:val="28"/>
          <w:szCs w:val="28"/>
        </w:rPr>
        <w:t>ed</w:t>
      </w:r>
      <w:proofErr w:type="spellEnd"/>
      <w:r w:rsidRPr="00683D35">
        <w:rPr>
          <w:rFonts w:ascii="Times New Roman" w:hAnsi="Times New Roman" w:cs="Times New Roman"/>
          <w:color w:val="333333"/>
          <w:sz w:val="28"/>
          <w:szCs w:val="28"/>
        </w:rPr>
        <w:t xml:space="preserve">) </w:t>
      </w:r>
      <w:r w:rsidRPr="00683D35">
        <w:rPr>
          <w:rFonts w:ascii="Times New Roman" w:hAnsi="Times New Roman" w:cs="Times New Roman"/>
          <w:i/>
          <w:color w:val="333333"/>
          <w:sz w:val="28"/>
          <w:szCs w:val="28"/>
        </w:rPr>
        <w:t>The Flinders History of South Australia</w:t>
      </w:r>
      <w:r w:rsidRPr="00683D35">
        <w:rPr>
          <w:rFonts w:ascii="Times New Roman" w:hAnsi="Times New Roman" w:cs="Times New Roman"/>
          <w:color w:val="333333"/>
          <w:sz w:val="28"/>
          <w:szCs w:val="28"/>
        </w:rPr>
        <w:t xml:space="preserve">, </w:t>
      </w:r>
      <w:r w:rsidRPr="00683D35">
        <w:rPr>
          <w:rFonts w:ascii="Times New Roman" w:hAnsi="Times New Roman" w:cs="Times New Roman"/>
          <w:i/>
          <w:color w:val="333333"/>
          <w:sz w:val="28"/>
          <w:szCs w:val="28"/>
        </w:rPr>
        <w:t>Political History</w:t>
      </w:r>
      <w:r w:rsidRPr="00683D35">
        <w:rPr>
          <w:rFonts w:ascii="Times New Roman" w:hAnsi="Times New Roman" w:cs="Times New Roman"/>
          <w:color w:val="333333"/>
          <w:sz w:val="28"/>
          <w:szCs w:val="28"/>
        </w:rPr>
        <w:t>, Wakefield Press, Adelaide, pp 448-474.</w:t>
      </w:r>
      <w:r w:rsidRPr="00683D35">
        <w:rPr>
          <w:rFonts w:ascii="Times New Roman" w:hAnsi="Times New Roman" w:cs="Times New Roman"/>
          <w:sz w:val="28"/>
          <w:szCs w:val="28"/>
        </w:rPr>
        <w:t xml:space="preserve">  </w:t>
      </w:r>
    </w:p>
    <w:p w:rsidR="00683D35" w:rsidRPr="00683D35" w:rsidRDefault="00683D35" w:rsidP="00683D35">
      <w:pPr>
        <w:pStyle w:val="ListParagraph"/>
        <w:rPr>
          <w:rFonts w:ascii="Times New Roman" w:hAnsi="Times New Roman" w:cs="Times New Roman"/>
          <w:color w:val="333333"/>
          <w:sz w:val="28"/>
          <w:szCs w:val="28"/>
        </w:rPr>
      </w:pPr>
    </w:p>
    <w:p w:rsidR="00683D35" w:rsidRPr="00683D35" w:rsidRDefault="00683D35" w:rsidP="00683D35">
      <w:pPr>
        <w:pStyle w:val="ListParagraph"/>
        <w:numPr>
          <w:ilvl w:val="0"/>
          <w:numId w:val="17"/>
        </w:numPr>
        <w:rPr>
          <w:rFonts w:ascii="Times New Roman" w:hAnsi="Times New Roman" w:cs="Times New Roman"/>
          <w:color w:val="333333"/>
          <w:sz w:val="28"/>
          <w:szCs w:val="28"/>
        </w:rPr>
      </w:pPr>
      <w:r w:rsidRPr="00683D35">
        <w:rPr>
          <w:rFonts w:ascii="Times New Roman" w:hAnsi="Times New Roman" w:cs="Times New Roman"/>
          <w:color w:val="333333"/>
          <w:sz w:val="28"/>
          <w:szCs w:val="28"/>
        </w:rPr>
        <w:t xml:space="preserve">R. M. Hartwell (1955) ‘The pastoral ascendancy’ in </w:t>
      </w:r>
      <w:r w:rsidRPr="00683D35">
        <w:rPr>
          <w:rFonts w:ascii="Times New Roman" w:hAnsi="Times New Roman" w:cs="Times New Roman"/>
          <w:i/>
          <w:color w:val="333333"/>
          <w:sz w:val="28"/>
          <w:szCs w:val="28"/>
        </w:rPr>
        <w:t>Australia: A Social and Political History</w:t>
      </w:r>
      <w:r w:rsidRPr="00683D35">
        <w:rPr>
          <w:rFonts w:ascii="Times New Roman" w:hAnsi="Times New Roman" w:cs="Times New Roman"/>
          <w:color w:val="333333"/>
          <w:sz w:val="28"/>
          <w:szCs w:val="28"/>
        </w:rPr>
        <w:t>, (</w:t>
      </w:r>
      <w:proofErr w:type="spellStart"/>
      <w:proofErr w:type="gramStart"/>
      <w:r w:rsidRPr="00683D35">
        <w:rPr>
          <w:rFonts w:ascii="Times New Roman" w:hAnsi="Times New Roman" w:cs="Times New Roman"/>
          <w:color w:val="333333"/>
          <w:sz w:val="28"/>
          <w:szCs w:val="28"/>
        </w:rPr>
        <w:t>ed</w:t>
      </w:r>
      <w:proofErr w:type="spellEnd"/>
      <w:proofErr w:type="gramEnd"/>
      <w:r w:rsidRPr="00683D35">
        <w:rPr>
          <w:rFonts w:ascii="Times New Roman" w:hAnsi="Times New Roman" w:cs="Times New Roman"/>
          <w:color w:val="333333"/>
          <w:sz w:val="28"/>
          <w:szCs w:val="28"/>
        </w:rPr>
        <w:t xml:space="preserve">) G. Greenwood, Angus and Robertson, pp 46-97. </w:t>
      </w:r>
    </w:p>
    <w:p w:rsidR="00683D35" w:rsidRPr="00683D35" w:rsidRDefault="00683D35" w:rsidP="00683D35">
      <w:pPr>
        <w:pStyle w:val="ListParagraph"/>
        <w:rPr>
          <w:rFonts w:ascii="Times New Roman" w:hAnsi="Times New Roman" w:cs="Times New Roman"/>
          <w:sz w:val="28"/>
          <w:szCs w:val="28"/>
        </w:rPr>
      </w:pPr>
    </w:p>
    <w:p w:rsidR="00683D35" w:rsidRPr="00683D35" w:rsidRDefault="00683D35" w:rsidP="00683D35">
      <w:pPr>
        <w:pStyle w:val="ListParagraph"/>
        <w:numPr>
          <w:ilvl w:val="0"/>
          <w:numId w:val="17"/>
        </w:numPr>
        <w:rPr>
          <w:rFonts w:ascii="Times New Roman" w:hAnsi="Times New Roman" w:cs="Times New Roman"/>
          <w:color w:val="333333"/>
          <w:sz w:val="28"/>
          <w:szCs w:val="28"/>
        </w:rPr>
      </w:pPr>
      <w:r w:rsidRPr="00683D35">
        <w:rPr>
          <w:rFonts w:ascii="Times New Roman" w:hAnsi="Times New Roman" w:cs="Times New Roman"/>
          <w:sz w:val="28"/>
          <w:szCs w:val="28"/>
        </w:rPr>
        <w:t xml:space="preserve">‘Hindmarsh, Sir John (1785-1860)’, </w:t>
      </w:r>
      <w:r w:rsidRPr="00683D35">
        <w:rPr>
          <w:rFonts w:ascii="Times New Roman" w:hAnsi="Times New Roman" w:cs="Times New Roman"/>
          <w:i/>
          <w:sz w:val="28"/>
          <w:szCs w:val="28"/>
        </w:rPr>
        <w:t>Australian Dictionary of Biography</w:t>
      </w:r>
      <w:r w:rsidRPr="00683D35">
        <w:rPr>
          <w:rFonts w:ascii="Times New Roman" w:hAnsi="Times New Roman" w:cs="Times New Roman"/>
          <w:sz w:val="28"/>
          <w:szCs w:val="28"/>
        </w:rPr>
        <w:t xml:space="preserve">, National Centre of Biography, Australian National University, </w:t>
      </w:r>
      <w:hyperlink r:id="rId20" w:history="1">
        <w:r w:rsidRPr="00683D35">
          <w:rPr>
            <w:rStyle w:val="Hyperlink"/>
            <w:rFonts w:ascii="Times New Roman" w:hAnsi="Times New Roman" w:cs="Times New Roman"/>
            <w:sz w:val="28"/>
            <w:szCs w:val="28"/>
          </w:rPr>
          <w:t>http://adb.anu.edu.au/biography/hindmarsh-sir-john-1315</w:t>
        </w:r>
      </w:hyperlink>
      <w:r w:rsidRPr="00683D35">
        <w:rPr>
          <w:rFonts w:ascii="Times New Roman" w:hAnsi="Times New Roman" w:cs="Times New Roman"/>
          <w:sz w:val="28"/>
          <w:szCs w:val="28"/>
        </w:rPr>
        <w:t xml:space="preserve"> published first in hard copy 1966, accessed online 20 March 2018</w:t>
      </w:r>
    </w:p>
    <w:p w:rsidR="00683D35" w:rsidRPr="00683D35" w:rsidRDefault="00683D35" w:rsidP="00683D35">
      <w:pPr>
        <w:pStyle w:val="ListParagraph"/>
        <w:rPr>
          <w:rFonts w:ascii="Times New Roman" w:hAnsi="Times New Roman" w:cs="Times New Roman"/>
          <w:color w:val="333333"/>
          <w:sz w:val="28"/>
          <w:szCs w:val="28"/>
        </w:rPr>
      </w:pPr>
    </w:p>
    <w:p w:rsidR="00683D35" w:rsidRPr="00683D35" w:rsidRDefault="00683D35" w:rsidP="00683D35">
      <w:pPr>
        <w:pStyle w:val="ListParagraph"/>
        <w:numPr>
          <w:ilvl w:val="0"/>
          <w:numId w:val="17"/>
        </w:numPr>
        <w:rPr>
          <w:rFonts w:ascii="Times New Roman" w:hAnsi="Times New Roman" w:cs="Times New Roman"/>
          <w:sz w:val="28"/>
          <w:szCs w:val="28"/>
        </w:rPr>
      </w:pPr>
      <w:r w:rsidRPr="00683D35">
        <w:rPr>
          <w:rFonts w:ascii="Times New Roman" w:hAnsi="Times New Roman" w:cs="Times New Roman"/>
          <w:sz w:val="28"/>
          <w:szCs w:val="28"/>
        </w:rPr>
        <w:t xml:space="preserve">J. Shute (2010) </w:t>
      </w:r>
      <w:r w:rsidRPr="00683D35">
        <w:rPr>
          <w:rFonts w:ascii="Times New Roman" w:hAnsi="Times New Roman" w:cs="Times New Roman"/>
          <w:i/>
          <w:sz w:val="28"/>
          <w:szCs w:val="28"/>
        </w:rPr>
        <w:t>Henry Ayers: The Man, who Became a Rock</w:t>
      </w:r>
      <w:r w:rsidRPr="00683D35">
        <w:rPr>
          <w:rFonts w:ascii="Times New Roman" w:hAnsi="Times New Roman" w:cs="Times New Roman"/>
          <w:sz w:val="28"/>
          <w:szCs w:val="28"/>
        </w:rPr>
        <w:t xml:space="preserve">, B Tauris &amp; Co. Ltd, </w:t>
      </w:r>
    </w:p>
    <w:p w:rsidR="0000585D" w:rsidRDefault="0000585D" w:rsidP="006667D2">
      <w:pPr>
        <w:ind w:firstLine="0"/>
      </w:pPr>
    </w:p>
    <w:sectPr w:rsidR="0000585D" w:rsidSect="002A5FDD">
      <w:headerReference w:type="even" r:id="rId21"/>
      <w:headerReference w:type="default" r:id="rId22"/>
      <w:footerReference w:type="even" r:id="rId23"/>
      <w:footerReference w:type="default" r:id="rId24"/>
      <w:headerReference w:type="first" r:id="rId25"/>
      <w:footerReference w:type="first" r:id="rId26"/>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6E5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0C" w:rsidRDefault="006E5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6E5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051120" w:rsidRPr="00A406D8" w:rsidRDefault="00051120" w:rsidP="00051120">
      <w:pPr>
        <w:pStyle w:val="FootnoteText"/>
        <w:rPr>
          <w:rFonts w:ascii="Times New Roman" w:hAnsi="Times New Roman" w:cs="Times New Roman"/>
        </w:rPr>
      </w:pPr>
      <w:r w:rsidRPr="00A406D8">
        <w:rPr>
          <w:rStyle w:val="FootnoteReference"/>
          <w:rFonts w:ascii="Times New Roman" w:hAnsi="Times New Roman" w:cs="Times New Roman"/>
        </w:rPr>
        <w:footnoteRef/>
      </w:r>
      <w:r w:rsidRPr="00A406D8">
        <w:rPr>
          <w:rFonts w:ascii="Times New Roman" w:hAnsi="Times New Roman" w:cs="Times New Roman"/>
        </w:rPr>
        <w:t xml:space="preserve"> John Hindmarsh S</w:t>
      </w:r>
      <w:r w:rsidR="00A50406">
        <w:rPr>
          <w:rFonts w:ascii="Times New Roman" w:hAnsi="Times New Roman" w:cs="Times New Roman"/>
        </w:rPr>
        <w:t>LSA</w:t>
      </w:r>
      <w:r w:rsidRPr="00A406D8">
        <w:rPr>
          <w:rFonts w:ascii="Times New Roman" w:hAnsi="Times New Roman" w:cs="Times New Roman"/>
        </w:rPr>
        <w:t xml:space="preserve"> [B11165]</w:t>
      </w:r>
    </w:p>
  </w:footnote>
  <w:footnote w:id="2">
    <w:p w:rsidR="00195644" w:rsidRPr="00884E87" w:rsidRDefault="00195644" w:rsidP="00195644">
      <w:pPr>
        <w:pStyle w:val="FootnoteText"/>
        <w:rPr>
          <w:rFonts w:ascii="Times New Roman" w:hAnsi="Times New Roman" w:cs="Times New Roman"/>
        </w:rPr>
      </w:pPr>
      <w:r w:rsidRPr="00884E87">
        <w:rPr>
          <w:rStyle w:val="FootnoteReference"/>
          <w:rFonts w:ascii="Times New Roman" w:hAnsi="Times New Roman" w:cs="Times New Roman"/>
        </w:rPr>
        <w:footnoteRef/>
      </w:r>
      <w:r w:rsidRPr="00884E87">
        <w:rPr>
          <w:rFonts w:ascii="Times New Roman" w:hAnsi="Times New Roman" w:cs="Times New Roman"/>
        </w:rPr>
        <w:t xml:space="preserve"> </w:t>
      </w:r>
      <w:proofErr w:type="spellStart"/>
      <w:r w:rsidRPr="00884E87">
        <w:rPr>
          <w:rFonts w:ascii="Times New Roman" w:hAnsi="Times New Roman" w:cs="Times New Roman"/>
        </w:rPr>
        <w:t>Radbone</w:t>
      </w:r>
      <w:proofErr w:type="spellEnd"/>
      <w:r w:rsidRPr="00884E87">
        <w:rPr>
          <w:rFonts w:ascii="Times New Roman" w:hAnsi="Times New Roman" w:cs="Times New Roman"/>
        </w:rPr>
        <w:t xml:space="preserve"> &amp; Robbins (1986), p 449</w:t>
      </w:r>
    </w:p>
  </w:footnote>
  <w:footnote w:id="3">
    <w:p w:rsidR="00195644" w:rsidRPr="00884E87" w:rsidRDefault="00195644" w:rsidP="00195644">
      <w:pPr>
        <w:pStyle w:val="FootnoteText"/>
        <w:rPr>
          <w:rFonts w:ascii="Times New Roman" w:hAnsi="Times New Roman" w:cs="Times New Roman"/>
        </w:rPr>
      </w:pPr>
      <w:r w:rsidRPr="00884E87">
        <w:rPr>
          <w:rStyle w:val="FootnoteReference"/>
          <w:rFonts w:ascii="Times New Roman" w:hAnsi="Times New Roman" w:cs="Times New Roman"/>
        </w:rPr>
        <w:footnoteRef/>
      </w:r>
      <w:r w:rsidRPr="00884E87">
        <w:rPr>
          <w:rFonts w:ascii="Times New Roman" w:hAnsi="Times New Roman" w:cs="Times New Roman"/>
        </w:rPr>
        <w:t xml:space="preserve"> Hartwell (1955), p75.</w:t>
      </w:r>
    </w:p>
  </w:footnote>
  <w:footnote w:id="4">
    <w:p w:rsidR="00195644" w:rsidRPr="00884E87" w:rsidRDefault="00195644" w:rsidP="00195644">
      <w:pPr>
        <w:pStyle w:val="FootnoteText"/>
        <w:rPr>
          <w:rFonts w:ascii="Times New Roman" w:hAnsi="Times New Roman" w:cs="Times New Roman"/>
        </w:rPr>
      </w:pPr>
      <w:r w:rsidRPr="00884E87">
        <w:rPr>
          <w:rStyle w:val="FootnoteReference"/>
          <w:rFonts w:ascii="Times New Roman" w:hAnsi="Times New Roman" w:cs="Times New Roman"/>
        </w:rPr>
        <w:footnoteRef/>
      </w:r>
      <w:r w:rsidRPr="00884E87">
        <w:rPr>
          <w:rFonts w:ascii="Times New Roman" w:hAnsi="Times New Roman" w:cs="Times New Roman"/>
        </w:rPr>
        <w:t xml:space="preserve"> Pike (1967) p105</w:t>
      </w:r>
    </w:p>
  </w:footnote>
  <w:footnote w:id="5">
    <w:p w:rsidR="00195644" w:rsidRPr="00884E87" w:rsidRDefault="00195644" w:rsidP="00195644">
      <w:pPr>
        <w:pStyle w:val="FootnoteText"/>
        <w:rPr>
          <w:rFonts w:ascii="Times New Roman" w:hAnsi="Times New Roman" w:cs="Times New Roman"/>
        </w:rPr>
      </w:pPr>
      <w:r w:rsidRPr="00884E87">
        <w:rPr>
          <w:rStyle w:val="FootnoteReference"/>
          <w:rFonts w:ascii="Times New Roman" w:hAnsi="Times New Roman" w:cs="Times New Roman"/>
        </w:rPr>
        <w:footnoteRef/>
      </w:r>
      <w:r w:rsidRPr="00884E87">
        <w:rPr>
          <w:rFonts w:ascii="Times New Roman" w:hAnsi="Times New Roman" w:cs="Times New Roman"/>
        </w:rPr>
        <w:t xml:space="preserve"> Pike (1967), p 98;  Redbone &amp; Robbins (1986), p 448</w:t>
      </w:r>
    </w:p>
  </w:footnote>
  <w:footnote w:id="6">
    <w:p w:rsidR="00195644" w:rsidRPr="00884E87" w:rsidRDefault="00195644" w:rsidP="00195644">
      <w:pPr>
        <w:pStyle w:val="FootnoteText"/>
        <w:rPr>
          <w:rFonts w:ascii="Times New Roman" w:hAnsi="Times New Roman" w:cs="Times New Roman"/>
        </w:rPr>
      </w:pPr>
      <w:r w:rsidRPr="00884E87">
        <w:rPr>
          <w:rStyle w:val="FootnoteReference"/>
          <w:rFonts w:ascii="Times New Roman" w:hAnsi="Times New Roman" w:cs="Times New Roman"/>
        </w:rPr>
        <w:footnoteRef/>
      </w:r>
      <w:r w:rsidRPr="00884E87">
        <w:rPr>
          <w:rFonts w:ascii="Times New Roman" w:hAnsi="Times New Roman" w:cs="Times New Roman"/>
        </w:rPr>
        <w:t xml:space="preserve"> Shute (2010), p 8</w:t>
      </w:r>
    </w:p>
  </w:footnote>
  <w:footnote w:id="7">
    <w:p w:rsidR="00195644" w:rsidRPr="00884E87" w:rsidRDefault="00195644" w:rsidP="00195644">
      <w:pPr>
        <w:pStyle w:val="FootnoteText"/>
        <w:rPr>
          <w:rFonts w:ascii="Times New Roman" w:hAnsi="Times New Roman" w:cs="Times New Roman"/>
        </w:rPr>
      </w:pPr>
      <w:r w:rsidRPr="00884E87">
        <w:rPr>
          <w:rStyle w:val="FootnoteReference"/>
          <w:rFonts w:ascii="Times New Roman" w:hAnsi="Times New Roman" w:cs="Times New Roman"/>
        </w:rPr>
        <w:footnoteRef/>
      </w:r>
      <w:r w:rsidRPr="00884E87">
        <w:rPr>
          <w:rFonts w:ascii="Times New Roman" w:hAnsi="Times New Roman" w:cs="Times New Roman"/>
        </w:rPr>
        <w:t xml:space="preserve"> Price (1928, 1978)  p 92;  Bull (1884)</w:t>
      </w:r>
    </w:p>
  </w:footnote>
  <w:footnote w:id="8">
    <w:p w:rsidR="00195644" w:rsidRPr="00884E87" w:rsidRDefault="00195644" w:rsidP="00195644">
      <w:pPr>
        <w:pStyle w:val="FootnoteText"/>
        <w:rPr>
          <w:rFonts w:ascii="Times New Roman" w:hAnsi="Times New Roman" w:cs="Times New Roman"/>
        </w:rPr>
      </w:pPr>
      <w:r w:rsidRPr="00884E87">
        <w:rPr>
          <w:rStyle w:val="FootnoteReference"/>
          <w:rFonts w:ascii="Times New Roman" w:hAnsi="Times New Roman" w:cs="Times New Roman"/>
        </w:rPr>
        <w:footnoteRef/>
      </w:r>
      <w:r w:rsidRPr="00884E87">
        <w:rPr>
          <w:rFonts w:ascii="Times New Roman" w:hAnsi="Times New Roman" w:cs="Times New Roman"/>
        </w:rPr>
        <w:t xml:space="preserve"> Price (1928; 1978), p 92 </w:t>
      </w:r>
    </w:p>
  </w:footnote>
  <w:footnote w:id="9">
    <w:p w:rsidR="00114A5F" w:rsidRPr="00ED7FF3" w:rsidRDefault="00114A5F" w:rsidP="00114A5F">
      <w:pPr>
        <w:pStyle w:val="FootnoteText"/>
        <w:rPr>
          <w:rFonts w:ascii="Times New Roman" w:hAnsi="Times New Roman" w:cs="Times New Roman"/>
        </w:rPr>
      </w:pPr>
      <w:r w:rsidRPr="00ED7FF3">
        <w:rPr>
          <w:rStyle w:val="FootnoteReference"/>
          <w:rFonts w:ascii="Times New Roman" w:hAnsi="Times New Roman" w:cs="Times New Roman"/>
        </w:rPr>
        <w:footnoteRef/>
      </w:r>
      <w:r w:rsidRPr="00ED7FF3">
        <w:rPr>
          <w:rFonts w:ascii="Times New Roman" w:hAnsi="Times New Roman" w:cs="Times New Roman"/>
        </w:rPr>
        <w:t xml:space="preserve"> Hindmarsh Square Adelaide 1929 S</w:t>
      </w:r>
      <w:r w:rsidR="00A50406">
        <w:rPr>
          <w:rFonts w:ascii="Times New Roman" w:hAnsi="Times New Roman" w:cs="Times New Roman"/>
        </w:rPr>
        <w:t>LSA</w:t>
      </w:r>
      <w:r w:rsidRPr="00ED7FF3">
        <w:rPr>
          <w:rFonts w:ascii="Times New Roman" w:hAnsi="Times New Roman" w:cs="Times New Roman"/>
        </w:rPr>
        <w:t xml:space="preserve"> [B5531] </w:t>
      </w:r>
      <w:hyperlink r:id="rId1" w:history="1">
        <w:r w:rsidRPr="00ED7FF3">
          <w:rPr>
            <w:rStyle w:val="Hyperlink"/>
            <w:rFonts w:ascii="Times New Roman" w:hAnsi="Times New Roman" w:cs="Times New Roman"/>
          </w:rPr>
          <w:t>https://collections.slsa.sa.gov.au/resource/B+5531</w:t>
        </w:r>
      </w:hyperlink>
      <w:r w:rsidRPr="00ED7FF3">
        <w:rPr>
          <w:rFonts w:ascii="Times New Roman" w:hAnsi="Times New Roman" w:cs="Times New Roman"/>
        </w:rPr>
        <w:t xml:space="preserve"> </w:t>
      </w:r>
    </w:p>
  </w:footnote>
  <w:footnote w:id="10">
    <w:p w:rsidR="00114A5F" w:rsidRPr="00A406D8" w:rsidRDefault="00114A5F" w:rsidP="00114A5F">
      <w:pPr>
        <w:pStyle w:val="FootnoteText"/>
        <w:rPr>
          <w:rFonts w:ascii="Times New Roman" w:hAnsi="Times New Roman" w:cs="Times New Roman"/>
        </w:rPr>
      </w:pPr>
      <w:r w:rsidRPr="00A406D8">
        <w:rPr>
          <w:rStyle w:val="FootnoteReference"/>
          <w:rFonts w:ascii="Times New Roman" w:hAnsi="Times New Roman" w:cs="Times New Roman"/>
        </w:rPr>
        <w:footnoteRef/>
      </w:r>
      <w:r w:rsidRPr="00A406D8">
        <w:rPr>
          <w:rFonts w:ascii="Times New Roman" w:hAnsi="Times New Roman" w:cs="Times New Roman"/>
        </w:rPr>
        <w:t xml:space="preserve"> Hindmarsh Square S</w:t>
      </w:r>
      <w:r w:rsidR="00A50406">
        <w:rPr>
          <w:rFonts w:ascii="Times New Roman" w:hAnsi="Times New Roman" w:cs="Times New Roman"/>
        </w:rPr>
        <w:t>LSA</w:t>
      </w:r>
      <w:r w:rsidRPr="00A406D8">
        <w:rPr>
          <w:rFonts w:ascii="Times New Roman" w:hAnsi="Times New Roman" w:cs="Times New Roman"/>
        </w:rPr>
        <w:t xml:space="preserve"> [B2482] </w:t>
      </w:r>
      <w:hyperlink r:id="rId2" w:history="1">
        <w:r w:rsidRPr="00A406D8">
          <w:rPr>
            <w:rStyle w:val="Hyperlink"/>
            <w:rFonts w:ascii="Times New Roman" w:hAnsi="Times New Roman" w:cs="Times New Roman"/>
          </w:rPr>
          <w:t>https://collections.slsa.sa.gov.au/resource/B+2482</w:t>
        </w:r>
      </w:hyperlink>
      <w:r w:rsidRPr="00A406D8">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6E5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5A" w:rsidRPr="00BC5AD8" w:rsidRDefault="006E5BE4" w:rsidP="00BC5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6E5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E60"/>
    <w:multiLevelType w:val="hybridMultilevel"/>
    <w:tmpl w:val="DAF2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FC1799"/>
    <w:multiLevelType w:val="hybridMultilevel"/>
    <w:tmpl w:val="5B96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90BA0"/>
    <w:multiLevelType w:val="hybridMultilevel"/>
    <w:tmpl w:val="9BFC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E4341E"/>
    <w:multiLevelType w:val="hybridMultilevel"/>
    <w:tmpl w:val="2AC4F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1F2D9B"/>
    <w:multiLevelType w:val="hybridMultilevel"/>
    <w:tmpl w:val="E7B8F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FB6DC5"/>
    <w:multiLevelType w:val="hybridMultilevel"/>
    <w:tmpl w:val="AC082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7C665D"/>
    <w:multiLevelType w:val="hybridMultilevel"/>
    <w:tmpl w:val="B6FEC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D072A9"/>
    <w:multiLevelType w:val="hybridMultilevel"/>
    <w:tmpl w:val="6EA0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0D068A"/>
    <w:multiLevelType w:val="hybridMultilevel"/>
    <w:tmpl w:val="9198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D46123"/>
    <w:multiLevelType w:val="hybridMultilevel"/>
    <w:tmpl w:val="F778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8F1389C"/>
    <w:multiLevelType w:val="hybridMultilevel"/>
    <w:tmpl w:val="85128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B4C0B49"/>
    <w:multiLevelType w:val="hybridMultilevel"/>
    <w:tmpl w:val="38349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BC47FF1"/>
    <w:multiLevelType w:val="hybridMultilevel"/>
    <w:tmpl w:val="1ACEA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CC91DCB"/>
    <w:multiLevelType w:val="hybridMultilevel"/>
    <w:tmpl w:val="54801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0314F6E"/>
    <w:multiLevelType w:val="hybridMultilevel"/>
    <w:tmpl w:val="C69A7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2643FC9"/>
    <w:multiLevelType w:val="hybridMultilevel"/>
    <w:tmpl w:val="80060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9B5E7A"/>
    <w:multiLevelType w:val="hybridMultilevel"/>
    <w:tmpl w:val="6F20B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770668E"/>
    <w:multiLevelType w:val="hybridMultilevel"/>
    <w:tmpl w:val="3ABE0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6D22B9"/>
    <w:multiLevelType w:val="hybridMultilevel"/>
    <w:tmpl w:val="331AF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915E1D"/>
    <w:multiLevelType w:val="hybridMultilevel"/>
    <w:tmpl w:val="7036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3BC0C33"/>
    <w:multiLevelType w:val="hybridMultilevel"/>
    <w:tmpl w:val="D526A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8727F8"/>
    <w:multiLevelType w:val="hybridMultilevel"/>
    <w:tmpl w:val="C64AA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2E0730B"/>
    <w:multiLevelType w:val="hybridMultilevel"/>
    <w:tmpl w:val="5DF01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6C8434B"/>
    <w:multiLevelType w:val="hybridMultilevel"/>
    <w:tmpl w:val="F3D24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6E063E9"/>
    <w:multiLevelType w:val="hybridMultilevel"/>
    <w:tmpl w:val="8C12F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D90AF9"/>
    <w:multiLevelType w:val="hybridMultilevel"/>
    <w:tmpl w:val="245EA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B060AEA"/>
    <w:multiLevelType w:val="hybridMultilevel"/>
    <w:tmpl w:val="40B8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16435B"/>
    <w:multiLevelType w:val="hybridMultilevel"/>
    <w:tmpl w:val="BFEEA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32"/>
  </w:num>
  <w:num w:numId="4">
    <w:abstractNumId w:val="4"/>
  </w:num>
  <w:num w:numId="5">
    <w:abstractNumId w:val="7"/>
  </w:num>
  <w:num w:numId="6">
    <w:abstractNumId w:val="25"/>
  </w:num>
  <w:num w:numId="7">
    <w:abstractNumId w:val="16"/>
  </w:num>
  <w:num w:numId="8">
    <w:abstractNumId w:val="19"/>
  </w:num>
  <w:num w:numId="9">
    <w:abstractNumId w:val="1"/>
  </w:num>
  <w:num w:numId="10">
    <w:abstractNumId w:val="22"/>
  </w:num>
  <w:num w:numId="11">
    <w:abstractNumId w:val="13"/>
  </w:num>
  <w:num w:numId="12">
    <w:abstractNumId w:val="31"/>
  </w:num>
  <w:num w:numId="13">
    <w:abstractNumId w:val="23"/>
  </w:num>
  <w:num w:numId="14">
    <w:abstractNumId w:val="28"/>
  </w:num>
  <w:num w:numId="15">
    <w:abstractNumId w:val="3"/>
  </w:num>
  <w:num w:numId="16">
    <w:abstractNumId w:val="33"/>
  </w:num>
  <w:num w:numId="17">
    <w:abstractNumId w:val="12"/>
  </w:num>
  <w:num w:numId="18">
    <w:abstractNumId w:val="5"/>
  </w:num>
  <w:num w:numId="19">
    <w:abstractNumId w:val="14"/>
  </w:num>
  <w:num w:numId="20">
    <w:abstractNumId w:val="18"/>
  </w:num>
  <w:num w:numId="21">
    <w:abstractNumId w:val="26"/>
  </w:num>
  <w:num w:numId="22">
    <w:abstractNumId w:val="24"/>
  </w:num>
  <w:num w:numId="23">
    <w:abstractNumId w:val="8"/>
  </w:num>
  <w:num w:numId="24">
    <w:abstractNumId w:val="29"/>
  </w:num>
  <w:num w:numId="25">
    <w:abstractNumId w:val="15"/>
  </w:num>
  <w:num w:numId="26">
    <w:abstractNumId w:val="6"/>
  </w:num>
  <w:num w:numId="27">
    <w:abstractNumId w:val="17"/>
  </w:num>
  <w:num w:numId="28">
    <w:abstractNumId w:val="9"/>
  </w:num>
  <w:num w:numId="29">
    <w:abstractNumId w:val="20"/>
  </w:num>
  <w:num w:numId="30">
    <w:abstractNumId w:val="2"/>
  </w:num>
  <w:num w:numId="31">
    <w:abstractNumId w:val="30"/>
  </w:num>
  <w:num w:numId="32">
    <w:abstractNumId w:val="10"/>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585D"/>
    <w:rsid w:val="000069E1"/>
    <w:rsid w:val="000115F0"/>
    <w:rsid w:val="00024CF2"/>
    <w:rsid w:val="00027B75"/>
    <w:rsid w:val="00034FD9"/>
    <w:rsid w:val="00051120"/>
    <w:rsid w:val="0006665E"/>
    <w:rsid w:val="00114A5F"/>
    <w:rsid w:val="001923C3"/>
    <w:rsid w:val="00195644"/>
    <w:rsid w:val="001B0EF5"/>
    <w:rsid w:val="001D785E"/>
    <w:rsid w:val="00204697"/>
    <w:rsid w:val="00244F7D"/>
    <w:rsid w:val="002559AD"/>
    <w:rsid w:val="002826A9"/>
    <w:rsid w:val="00290A8E"/>
    <w:rsid w:val="002A5FDD"/>
    <w:rsid w:val="002C2E6F"/>
    <w:rsid w:val="002F5909"/>
    <w:rsid w:val="0030427A"/>
    <w:rsid w:val="0036029F"/>
    <w:rsid w:val="003E5F5E"/>
    <w:rsid w:val="00403307"/>
    <w:rsid w:val="004041BA"/>
    <w:rsid w:val="00473F33"/>
    <w:rsid w:val="00487DDA"/>
    <w:rsid w:val="004C0F26"/>
    <w:rsid w:val="004F0FB0"/>
    <w:rsid w:val="0054359F"/>
    <w:rsid w:val="005C005A"/>
    <w:rsid w:val="005D13A8"/>
    <w:rsid w:val="005F65B9"/>
    <w:rsid w:val="006667D2"/>
    <w:rsid w:val="0067331F"/>
    <w:rsid w:val="006747CF"/>
    <w:rsid w:val="00680B26"/>
    <w:rsid w:val="00683D35"/>
    <w:rsid w:val="006E2354"/>
    <w:rsid w:val="006E5BE4"/>
    <w:rsid w:val="006E5BE5"/>
    <w:rsid w:val="006F4F92"/>
    <w:rsid w:val="0075685A"/>
    <w:rsid w:val="007A4959"/>
    <w:rsid w:val="007A6E5B"/>
    <w:rsid w:val="007F735D"/>
    <w:rsid w:val="0087708C"/>
    <w:rsid w:val="0089340B"/>
    <w:rsid w:val="008B4F7C"/>
    <w:rsid w:val="00923392"/>
    <w:rsid w:val="00972005"/>
    <w:rsid w:val="009853D3"/>
    <w:rsid w:val="00990645"/>
    <w:rsid w:val="00997619"/>
    <w:rsid w:val="00A04EDD"/>
    <w:rsid w:val="00A12A44"/>
    <w:rsid w:val="00A50406"/>
    <w:rsid w:val="00A52A7E"/>
    <w:rsid w:val="00A54A53"/>
    <w:rsid w:val="00A5685D"/>
    <w:rsid w:val="00A56964"/>
    <w:rsid w:val="00A9325D"/>
    <w:rsid w:val="00AA5D1C"/>
    <w:rsid w:val="00B02624"/>
    <w:rsid w:val="00B2335F"/>
    <w:rsid w:val="00BC5AD8"/>
    <w:rsid w:val="00C377F8"/>
    <w:rsid w:val="00C63C9B"/>
    <w:rsid w:val="00C72AE1"/>
    <w:rsid w:val="00C83C76"/>
    <w:rsid w:val="00C94124"/>
    <w:rsid w:val="00CA7021"/>
    <w:rsid w:val="00CE1624"/>
    <w:rsid w:val="00D00D38"/>
    <w:rsid w:val="00D01D0F"/>
    <w:rsid w:val="00D51E48"/>
    <w:rsid w:val="00D636DC"/>
    <w:rsid w:val="00D80425"/>
    <w:rsid w:val="00D85AE4"/>
    <w:rsid w:val="00DA1AA5"/>
    <w:rsid w:val="00DD23FA"/>
    <w:rsid w:val="00E003EF"/>
    <w:rsid w:val="00E3304B"/>
    <w:rsid w:val="00E579A5"/>
    <w:rsid w:val="00E74DCD"/>
    <w:rsid w:val="00E770F4"/>
    <w:rsid w:val="00EB6CA7"/>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A50406"/>
    <w:rPr>
      <w:rFonts w:ascii="Tahoma" w:hAnsi="Tahoma" w:cs="Tahoma"/>
      <w:sz w:val="16"/>
      <w:szCs w:val="16"/>
    </w:rPr>
  </w:style>
  <w:style w:type="character" w:customStyle="1" w:styleId="BalloonTextChar">
    <w:name w:val="Balloon Text Char"/>
    <w:basedOn w:val="DefaultParagraphFont"/>
    <w:link w:val="BalloonText"/>
    <w:uiPriority w:val="99"/>
    <w:semiHidden/>
    <w:rsid w:val="00A50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A50406"/>
    <w:rPr>
      <w:rFonts w:ascii="Tahoma" w:hAnsi="Tahoma" w:cs="Tahoma"/>
      <w:sz w:val="16"/>
      <w:szCs w:val="16"/>
    </w:rPr>
  </w:style>
  <w:style w:type="character" w:customStyle="1" w:styleId="BalloonTextChar">
    <w:name w:val="Balloon Text Char"/>
    <w:basedOn w:val="DefaultParagraphFont"/>
    <w:link w:val="BalloonText"/>
    <w:uiPriority w:val="99"/>
    <w:semiHidden/>
    <w:rsid w:val="00A50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trove.nla.gov.au/newspaper/article/3175002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rove.nla.gov.au/newspaper/article/31719919"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rove.nla.gov.au/newspaper/article/31719919" TargetMode="External"/><Relationship Id="rId20" Type="http://schemas.openxmlformats.org/officeDocument/2006/relationships/hyperlink" Target="http://adb.anu.edu.au/biography/hindmarsh-sir-john-13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rove.nla.gov.au/newspaper/article/3532239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books.adelaide.edu.au/b/bull/john_wrathall/early-experiences-of-life-in-south-australia/complet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llections.slsa.sa.gov.au/resource/B+2482" TargetMode="External"/><Relationship Id="rId1" Type="http://schemas.openxmlformats.org/officeDocument/2006/relationships/hyperlink" Target="https://collections.slsa.sa.gov.au/resource/B+55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2.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DD87E-498C-4765-9CFA-DB022654DD1E}">
  <ds:schemaRefs>
    <ds:schemaRef ds:uri="http://purl.org/dc/terms/"/>
    <ds:schemaRef ds:uri="http://schemas.openxmlformats.org/package/2006/metadata/core-properties"/>
    <ds:schemaRef ds:uri="http://schemas.microsoft.com/office/2006/documentManagement/types"/>
    <ds:schemaRef ds:uri="http://www.w3.org/XML/1998/namespace"/>
    <ds:schemaRef ds:uri="71af3243-3dd4-4a8d-8c0d-dd76da1f02a5"/>
    <ds:schemaRef ds:uri="16c05727-aa75-4e4a-9b5f-8a80a1165891"/>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ABF1E02-3DF5-4D55-A596-5F2F234E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2019-09-08T23:49:00Z</dcterms:created>
  <dcterms:modified xsi:type="dcterms:W3CDTF">2019-09-08T23:49:00Z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